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069C26" w14:textId="77777777" w:rsidR="00821662" w:rsidRPr="003C0885" w:rsidRDefault="00821662" w:rsidP="00821662">
      <w:pPr>
        <w:pStyle w:val="Title"/>
      </w:pPr>
      <w:r w:rsidRPr="00DE7E23">
        <w:t xml:space="preserve">Human Rights and Election Standards: </w:t>
      </w:r>
    </w:p>
    <w:p w14:paraId="78A14055" w14:textId="77777777" w:rsidR="00821662" w:rsidRDefault="00821662" w:rsidP="00821662">
      <w:pPr>
        <w:pStyle w:val="Title"/>
      </w:pPr>
      <w:r w:rsidRPr="003C0885">
        <w:t>A Plan of Action</w:t>
      </w:r>
    </w:p>
    <w:p w14:paraId="5D2DF79C" w14:textId="77777777" w:rsidR="00821662" w:rsidRDefault="00821662" w:rsidP="00821662"/>
    <w:p w14:paraId="478109E4" w14:textId="178DF35A" w:rsidR="00821662" w:rsidRPr="003F66E8" w:rsidRDefault="008A63A3" w:rsidP="00821662">
      <w:r>
        <w:t>December 2017</w:t>
      </w:r>
    </w:p>
    <w:p w14:paraId="3C655116" w14:textId="77777777" w:rsidR="00821662" w:rsidRDefault="00821662" w:rsidP="00821662"/>
    <w:p w14:paraId="51A1BD23" w14:textId="3E8FBDB3" w:rsidR="00431020" w:rsidRDefault="00294938" w:rsidP="00810BFB">
      <w:pPr>
        <w:rPr>
          <w:i/>
        </w:rPr>
      </w:pPr>
      <w:r w:rsidRPr="00B11BE8">
        <w:rPr>
          <w:i/>
        </w:rPr>
        <w:t>Through their joint initiative on Human Rights and Election Standards, the United Nations Office</w:t>
      </w:r>
      <w:r w:rsidR="00431020">
        <w:rPr>
          <w:i/>
        </w:rPr>
        <w:t xml:space="preserve"> </w:t>
      </w:r>
      <w:r w:rsidRPr="00B11BE8">
        <w:rPr>
          <w:i/>
        </w:rPr>
        <w:t xml:space="preserve">of the High Commissioner on Human Rights and The Carter Center have worked to bring the human rights and election communities </w:t>
      </w:r>
      <w:r w:rsidR="00BE3FFF" w:rsidRPr="00BE3FFF">
        <w:rPr>
          <w:i/>
        </w:rPr>
        <w:t xml:space="preserve">closer </w:t>
      </w:r>
      <w:r w:rsidRPr="00B11BE8">
        <w:rPr>
          <w:i/>
        </w:rPr>
        <w:t>and to foster stronger</w:t>
      </w:r>
      <w:r w:rsidR="00431020">
        <w:rPr>
          <w:i/>
        </w:rPr>
        <w:t xml:space="preserve"> </w:t>
      </w:r>
      <w:r w:rsidRPr="00B11BE8">
        <w:rPr>
          <w:i/>
        </w:rPr>
        <w:t xml:space="preserve">links and communication between them. This Plan of Action aims to advance human rights related to genuine democratic elections by charting a course of practical steps toward our shared goals. </w:t>
      </w:r>
    </w:p>
    <w:p w14:paraId="246C2F04" w14:textId="77777777" w:rsidR="00431020" w:rsidRDefault="00431020" w:rsidP="00810BFB">
      <w:pPr>
        <w:rPr>
          <w:i/>
        </w:rPr>
      </w:pPr>
    </w:p>
    <w:p w14:paraId="202659D7" w14:textId="1AA10D0D" w:rsidR="00287142" w:rsidRPr="002B3349" w:rsidRDefault="00287142" w:rsidP="00810BFB">
      <w:pPr>
        <w:rPr>
          <w:i/>
        </w:rPr>
      </w:pPr>
      <w:r w:rsidRPr="002B3349">
        <w:rPr>
          <w:i/>
        </w:rPr>
        <w:t>The draft plan of action was developed based on the recommendations formulated throughout</w:t>
      </w:r>
      <w:r w:rsidR="00B11BE8" w:rsidRPr="002B3349">
        <w:rPr>
          <w:i/>
        </w:rPr>
        <w:t xml:space="preserve"> </w:t>
      </w:r>
      <w:r w:rsidR="00BE3FFF">
        <w:rPr>
          <w:i/>
        </w:rPr>
        <w:t xml:space="preserve">a </w:t>
      </w:r>
      <w:r w:rsidRPr="002B3349">
        <w:rPr>
          <w:i/>
        </w:rPr>
        <w:t xml:space="preserve">series of consultations that took place between 2015 and 2017. </w:t>
      </w:r>
      <w:r w:rsidR="00431020" w:rsidRPr="002B3349">
        <w:rPr>
          <w:i/>
        </w:rPr>
        <w:t>Going forward, organizations and individuals may agree on an ad-hoc basis to disseminating and acting upon the recommendations in this Plan of Action.</w:t>
      </w:r>
      <w:r w:rsidR="00B11BE8" w:rsidRPr="002B3349">
        <w:rPr>
          <w:i/>
        </w:rPr>
        <w:t xml:space="preserve"> </w:t>
      </w:r>
      <w:r w:rsidRPr="002B3349">
        <w:rPr>
          <w:i/>
        </w:rPr>
        <w:t>The OHCHR and The Carter Center would like to acknowledge the many individuals and organizations that contributed to the Human Rights and Election Standards consultations (</w:t>
      </w:r>
      <w:r w:rsidR="00BE3FFF">
        <w:rPr>
          <w:i/>
        </w:rPr>
        <w:t>A</w:t>
      </w:r>
      <w:r w:rsidRPr="002B3349">
        <w:rPr>
          <w:i/>
        </w:rPr>
        <w:t xml:space="preserve">ppendix A). </w:t>
      </w:r>
    </w:p>
    <w:p w14:paraId="5E0926E7" w14:textId="77777777" w:rsidR="00287142" w:rsidRDefault="00287142" w:rsidP="00B11BE8">
      <w:pPr>
        <w:ind w:left="360" w:hanging="360"/>
      </w:pPr>
    </w:p>
    <w:p w14:paraId="14FC5AFC" w14:textId="77777777" w:rsidR="00294938" w:rsidRDefault="00294938" w:rsidP="00821662"/>
    <w:p w14:paraId="15E489FE" w14:textId="77777777" w:rsidR="00821662" w:rsidRDefault="00821662" w:rsidP="00821662">
      <w:pPr>
        <w:pStyle w:val="Heading1"/>
      </w:pPr>
      <w:r>
        <w:t>INTRODUCTION</w:t>
      </w:r>
    </w:p>
    <w:p w14:paraId="7B8E964F" w14:textId="77777777" w:rsidR="00821662" w:rsidRPr="003F66E8" w:rsidRDefault="00821662" w:rsidP="00821662"/>
    <w:p w14:paraId="28294804" w14:textId="2F7E608C" w:rsidR="00821662" w:rsidRPr="003C0885" w:rsidRDefault="00821662" w:rsidP="00821662">
      <w:pPr>
        <w:pStyle w:val="ListParagraph"/>
        <w:numPr>
          <w:ilvl w:val="0"/>
          <w:numId w:val="4"/>
        </w:numPr>
      </w:pPr>
      <w:r w:rsidRPr="00FC04BF">
        <w:t>Genuine democratic</w:t>
      </w:r>
      <w:r>
        <w:t xml:space="preserve"> elections expressing the will of the people are essential to securing the legitimate authority of </w:t>
      </w:r>
      <w:r w:rsidR="00BE3FFF">
        <w:t>g</w:t>
      </w:r>
      <w:r>
        <w:t xml:space="preserve">overnments and the promotion and protection of human rights. </w:t>
      </w:r>
      <w:r w:rsidRPr="003C0885">
        <w:t xml:space="preserve">States around the world regularly hold elections and are obligated, in part through their ratification of key </w:t>
      </w:r>
      <w:r>
        <w:t xml:space="preserve">human rights </w:t>
      </w:r>
      <w:r w:rsidRPr="003C0885">
        <w:t xml:space="preserve">treaties </w:t>
      </w:r>
      <w:r>
        <w:t xml:space="preserve">and through customary law, </w:t>
      </w:r>
      <w:r w:rsidRPr="003C0885">
        <w:t xml:space="preserve">to respect and protect a core set of human rights and fundamental freedoms </w:t>
      </w:r>
      <w:r>
        <w:t xml:space="preserve">critical for </w:t>
      </w:r>
      <w:r w:rsidRPr="003C0885">
        <w:t xml:space="preserve">democratic elections. </w:t>
      </w:r>
    </w:p>
    <w:p w14:paraId="52BC89E8" w14:textId="77777777" w:rsidR="00821662" w:rsidRPr="003C0885" w:rsidRDefault="00821662" w:rsidP="00821662"/>
    <w:p w14:paraId="26037BEC" w14:textId="0653070F" w:rsidR="00821662" w:rsidRPr="003C0885" w:rsidRDefault="00821662" w:rsidP="00821662">
      <w:pPr>
        <w:pStyle w:val="ListParagraph"/>
        <w:numPr>
          <w:ilvl w:val="0"/>
          <w:numId w:val="4"/>
        </w:numPr>
      </w:pPr>
      <w:r>
        <w:t>A</w:t>
      </w:r>
      <w:r w:rsidRPr="003C0885">
        <w:t xml:space="preserve"> </w:t>
      </w:r>
      <w:r w:rsidR="00AE1358">
        <w:t>well-established and evolving b</w:t>
      </w:r>
      <w:r w:rsidRPr="003C0885">
        <w:t>ody of public international law related to elections and electoral and participatory rights serve</w:t>
      </w:r>
      <w:r>
        <w:t>s as</w:t>
      </w:r>
      <w:r w:rsidRPr="003C0885">
        <w:t xml:space="preserve"> commonly accepted international</w:t>
      </w:r>
      <w:r>
        <w:t xml:space="preserve"> norms and</w:t>
      </w:r>
      <w:r w:rsidRPr="003C0885">
        <w:t xml:space="preserve"> standards for </w:t>
      </w:r>
      <w:r w:rsidRPr="00FC04BF">
        <w:t>genuine elections.</w:t>
      </w:r>
      <w:r w:rsidRPr="003C0885">
        <w:t xml:space="preserve">  Article 21 of the Universal Declaration of Human Rights highlights the role of elections in ensuring </w:t>
      </w:r>
      <w:r w:rsidR="00287142">
        <w:t>everyone is</w:t>
      </w:r>
      <w:r w:rsidRPr="003C0885">
        <w:t xml:space="preserve"> able to participate in the public affairs of their country. This is elaborated in the International Covenant on Civil and Political Rights, and other international and regional treaties and instruments. This legal corpus includes </w:t>
      </w:r>
      <w:r>
        <w:t>other human</w:t>
      </w:r>
      <w:r w:rsidRPr="003C0885">
        <w:t xml:space="preserve"> rights that, while not themselves explicitly electoral in nature, are relevant when considering elections as broad</w:t>
      </w:r>
      <w:r>
        <w:t>,</w:t>
      </w:r>
      <w:r w:rsidRPr="003C0885">
        <w:t xml:space="preserve"> </w:t>
      </w:r>
      <w:r>
        <w:t xml:space="preserve">participatory and inclusive </w:t>
      </w:r>
      <w:r w:rsidRPr="003C0885">
        <w:t>cyclical process</w:t>
      </w:r>
      <w:r>
        <w:t>es</w:t>
      </w:r>
      <w:r w:rsidRPr="003C0885">
        <w:t xml:space="preserve"> rather than single event</w:t>
      </w:r>
      <w:r>
        <w:t>s</w:t>
      </w:r>
      <w:r w:rsidRPr="003C0885">
        <w:t xml:space="preserve">. </w:t>
      </w:r>
    </w:p>
    <w:p w14:paraId="6EB5E320" w14:textId="77777777" w:rsidR="00821662" w:rsidRPr="003C0885" w:rsidRDefault="00821662" w:rsidP="00821662"/>
    <w:p w14:paraId="1C5CFC1E" w14:textId="2FEBCBC4" w:rsidR="00826719" w:rsidRDefault="00821662" w:rsidP="00B11BE8">
      <w:pPr>
        <w:pStyle w:val="ListParagraph"/>
        <w:numPr>
          <w:ilvl w:val="0"/>
          <w:numId w:val="4"/>
        </w:numPr>
      </w:pPr>
      <w:r w:rsidRPr="003C0885">
        <w:t>The inclusion of elections as a means of ensuring the right to participate in public affairs in international and regional instruments means that elections are</w:t>
      </w:r>
      <w:r w:rsidR="00AE1358">
        <w:t xml:space="preserve"> </w:t>
      </w:r>
      <w:r w:rsidRPr="003C0885">
        <w:t xml:space="preserve">subject </w:t>
      </w:r>
      <w:r w:rsidR="00746553">
        <w:t xml:space="preserve">to </w:t>
      </w:r>
      <w:r>
        <w:t xml:space="preserve">human </w:t>
      </w:r>
      <w:r>
        <w:lastRenderedPageBreak/>
        <w:t>rights norms and standards</w:t>
      </w:r>
      <w:r w:rsidR="00BE3FFF">
        <w:t>,</w:t>
      </w:r>
      <w:r>
        <w:t xml:space="preserve"> and scrutiny by </w:t>
      </w:r>
      <w:r w:rsidRPr="003C0885">
        <w:t>international and regional human rights mech</w:t>
      </w:r>
      <w:r>
        <w:t xml:space="preserve">anisms. </w:t>
      </w:r>
      <w:r w:rsidR="00826719">
        <w:br/>
      </w:r>
    </w:p>
    <w:p w14:paraId="23E71653" w14:textId="655F5497" w:rsidR="00821662" w:rsidRDefault="00D97F4E" w:rsidP="00B11BE8">
      <w:pPr>
        <w:pStyle w:val="ListParagraph"/>
        <w:numPr>
          <w:ilvl w:val="0"/>
          <w:numId w:val="4"/>
        </w:numPr>
      </w:pPr>
      <w:r>
        <w:t xml:space="preserve">Sustainable Development Goal target 16.7 aims to ensure responsive, inclusive, participatory and representative decision-making at all levels.  Effective participation in public affairs </w:t>
      </w:r>
      <w:r w:rsidR="00B45C6E">
        <w:t>through elections may be</w:t>
      </w:r>
      <w:r>
        <w:t xml:space="preserve"> key in attainment of this target.  </w:t>
      </w:r>
    </w:p>
    <w:p w14:paraId="3128B70A" w14:textId="77777777" w:rsidR="00B11BE8" w:rsidRPr="003C0885" w:rsidRDefault="00B11BE8" w:rsidP="00B11BE8">
      <w:pPr>
        <w:pStyle w:val="ListParagraph"/>
        <w:numPr>
          <w:ilvl w:val="0"/>
          <w:numId w:val="0"/>
        </w:numPr>
        <w:ind w:left="720"/>
      </w:pPr>
    </w:p>
    <w:p w14:paraId="73502B24" w14:textId="3E8B67CA" w:rsidR="00821662" w:rsidRPr="003C0885" w:rsidRDefault="00821662" w:rsidP="00821662">
      <w:pPr>
        <w:pStyle w:val="Heading2"/>
      </w:pPr>
      <w:r w:rsidRPr="003C0885">
        <w:t>Elect</w:t>
      </w:r>
      <w:r w:rsidR="005C6665">
        <w:t xml:space="preserve">ion Observation &amp; </w:t>
      </w:r>
      <w:r w:rsidRPr="003C0885">
        <w:t>Assistance and Human Rights Communities</w:t>
      </w:r>
    </w:p>
    <w:p w14:paraId="6593FEBC" w14:textId="77777777" w:rsidR="00821662" w:rsidRPr="003C0885" w:rsidRDefault="00821662" w:rsidP="00821662"/>
    <w:p w14:paraId="79A05978" w14:textId="335664F3" w:rsidR="00821662" w:rsidRPr="003C0885" w:rsidRDefault="00821662" w:rsidP="00821662">
      <w:pPr>
        <w:pStyle w:val="ListParagraph"/>
        <w:numPr>
          <w:ilvl w:val="0"/>
          <w:numId w:val="4"/>
        </w:numPr>
      </w:pPr>
      <w:r w:rsidRPr="003C0885">
        <w:t xml:space="preserve">A large range of organizations, intergovernmental and nongovernmental, international, regional and national, provide support for </w:t>
      </w:r>
      <w:r w:rsidRPr="00FC04BF">
        <w:t>genuine democratic</w:t>
      </w:r>
      <w:r w:rsidRPr="000F1F07">
        <w:t xml:space="preserve"> elections</w:t>
      </w:r>
      <w:r w:rsidRPr="003C0885">
        <w:t>.  This</w:t>
      </w:r>
      <w:r>
        <w:t xml:space="preserve"> election</w:t>
      </w:r>
      <w:r w:rsidR="00A401C3">
        <w:t xml:space="preserve"> </w:t>
      </w:r>
      <w:r>
        <w:t>community</w:t>
      </w:r>
      <w:r w:rsidRPr="003C0885">
        <w:t xml:space="preserve"> includes technical assistance practitioners, election observation organizations, and various other groups that provide democracy support</w:t>
      </w:r>
      <w:r>
        <w:t xml:space="preserve"> at the</w:t>
      </w:r>
      <w:r w:rsidRPr="003C0885">
        <w:t xml:space="preserve"> </w:t>
      </w:r>
      <w:r>
        <w:t>national, regional</w:t>
      </w:r>
      <w:r w:rsidR="00BE3FFF">
        <w:t>,</w:t>
      </w:r>
      <w:r w:rsidRPr="003C0885">
        <w:t xml:space="preserve"> and international</w:t>
      </w:r>
      <w:r>
        <w:t xml:space="preserve"> levels</w:t>
      </w:r>
      <w:r w:rsidRPr="003C0885">
        <w:t xml:space="preserve">.  In parallel, </w:t>
      </w:r>
      <w:r>
        <w:t xml:space="preserve">the human rights community includes </w:t>
      </w:r>
      <w:r w:rsidRPr="003C0885">
        <w:t>many national</w:t>
      </w:r>
      <w:r w:rsidR="00594A5B">
        <w:t xml:space="preserve"> bodies</w:t>
      </w:r>
      <w:r w:rsidRPr="003C0885">
        <w:t>, regional and international</w:t>
      </w:r>
      <w:r w:rsidR="00594A5B">
        <w:t xml:space="preserve"> intergovernmental agencies</w:t>
      </w:r>
      <w:r w:rsidR="00B45C6E">
        <w:t>,</w:t>
      </w:r>
      <w:r w:rsidR="00A401C3">
        <w:t xml:space="preserve"> </w:t>
      </w:r>
      <w:r w:rsidR="000A124E">
        <w:t>nongovernmental</w:t>
      </w:r>
      <w:r w:rsidRPr="003C0885">
        <w:t xml:space="preserve"> organizations</w:t>
      </w:r>
      <w:r w:rsidR="00B45C6E">
        <w:t>, academic</w:t>
      </w:r>
      <w:r w:rsidR="00BE3FFF">
        <w:t>,</w:t>
      </w:r>
      <w:r w:rsidR="00B45C6E">
        <w:t xml:space="preserve"> and other organizations</w:t>
      </w:r>
      <w:r w:rsidR="000A124E">
        <w:t xml:space="preserve"> </w:t>
      </w:r>
      <w:r w:rsidRPr="003C0885">
        <w:t>that work to advance human rights</w:t>
      </w:r>
      <w:r>
        <w:t>, including in the context of elections</w:t>
      </w:r>
      <w:r w:rsidR="000A124E">
        <w:t xml:space="preserve">. </w:t>
      </w:r>
      <w:r w:rsidR="00594A5B">
        <w:t xml:space="preserve">It also includes </w:t>
      </w:r>
      <w:r w:rsidR="000C73AE">
        <w:t xml:space="preserve">international </w:t>
      </w:r>
      <w:r>
        <w:t xml:space="preserve">human rights mechanisms that monitor </w:t>
      </w:r>
      <w:r w:rsidR="00BE3FFF">
        <w:t xml:space="preserve">states’ </w:t>
      </w:r>
      <w:r>
        <w:t>compliance with their human rights obligations</w:t>
      </w:r>
      <w:r w:rsidRPr="003C0885">
        <w:t>.</w:t>
      </w:r>
    </w:p>
    <w:p w14:paraId="1795555F" w14:textId="77777777" w:rsidR="00821662" w:rsidRPr="003C0885" w:rsidRDefault="00821662" w:rsidP="00821662"/>
    <w:p w14:paraId="56F8CBE4" w14:textId="3D784702" w:rsidR="00821662" w:rsidRPr="003C0885" w:rsidRDefault="00821662" w:rsidP="00821662">
      <w:pPr>
        <w:pStyle w:val="ListParagraph"/>
        <w:numPr>
          <w:ilvl w:val="0"/>
          <w:numId w:val="4"/>
        </w:numPr>
      </w:pPr>
      <w:r w:rsidRPr="003C0885">
        <w:t>The human rights</w:t>
      </w:r>
      <w:r>
        <w:t xml:space="preserve"> and </w:t>
      </w:r>
      <w:r w:rsidRPr="003C0885">
        <w:t>election communit</w:t>
      </w:r>
      <w:r>
        <w:t>ies</w:t>
      </w:r>
      <w:r w:rsidRPr="003C0885">
        <w:t xml:space="preserve"> share common foundational principles that guide their work and </w:t>
      </w:r>
      <w:r w:rsidR="00B75D3F">
        <w:t xml:space="preserve">that </w:t>
      </w:r>
      <w:r w:rsidRPr="003C0885">
        <w:t xml:space="preserve">are firmly rooted in the framework of public international law and international human rights law. </w:t>
      </w:r>
      <w:r>
        <w:t xml:space="preserve">These </w:t>
      </w:r>
      <w:r w:rsidRPr="003C0885">
        <w:t xml:space="preserve">communities share common goals and methods of engagement on key issues. </w:t>
      </w:r>
      <w:r>
        <w:t xml:space="preserve">They </w:t>
      </w:r>
      <w:r w:rsidRPr="003C0885">
        <w:t xml:space="preserve">focus on the need to proactively advance </w:t>
      </w:r>
      <w:r>
        <w:t xml:space="preserve">participatory </w:t>
      </w:r>
      <w:r w:rsidRPr="003C0885">
        <w:t>democratic rights and freedoms and</w:t>
      </w:r>
      <w:r w:rsidR="00EB5151">
        <w:t>, in the case of election observation organizations,</w:t>
      </w:r>
      <w:r w:rsidRPr="003C0885">
        <w:t xml:space="preserve"> do so through the monitoring and assessment of </w:t>
      </w:r>
      <w:r w:rsidR="00B75D3F">
        <w:t>s</w:t>
      </w:r>
      <w:r w:rsidRPr="003C0885">
        <w:t xml:space="preserve">tate performance, </w:t>
      </w:r>
      <w:r w:rsidR="00EB5151">
        <w:t xml:space="preserve">albeit </w:t>
      </w:r>
      <w:r w:rsidRPr="003C0885">
        <w:t xml:space="preserve">generally with few, if any, enforcement powers.   </w:t>
      </w:r>
    </w:p>
    <w:p w14:paraId="21B2D461" w14:textId="77777777" w:rsidR="00821662" w:rsidRPr="003C0885" w:rsidRDefault="00821662" w:rsidP="00821662"/>
    <w:p w14:paraId="47E543E9" w14:textId="4A48E234" w:rsidR="003C3422" w:rsidRDefault="00945051" w:rsidP="00821662">
      <w:pPr>
        <w:pStyle w:val="ListParagraph"/>
        <w:numPr>
          <w:ilvl w:val="0"/>
          <w:numId w:val="4"/>
        </w:numPr>
      </w:pPr>
      <w:r>
        <w:t>Election</w:t>
      </w:r>
      <w:r w:rsidR="00821662" w:rsidRPr="003C0885">
        <w:t xml:space="preserve"> observation itself is conceptualized as a form of human rights monitoring and relies on data collection about key aspects and issues throughout the electoral process, evidence-based analysis, and the issuance of public</w:t>
      </w:r>
      <w:r>
        <w:t xml:space="preserve"> statements and</w:t>
      </w:r>
      <w:r w:rsidR="00821662" w:rsidRPr="003C0885">
        <w:t xml:space="preserve"> reports and recommendations to</w:t>
      </w:r>
      <w:r w:rsidR="000C73AE">
        <w:t xml:space="preserve"> </w:t>
      </w:r>
      <w:r w:rsidR="003C3422">
        <w:t xml:space="preserve">relevant </w:t>
      </w:r>
      <w:r w:rsidR="00C81538">
        <w:t>stakeholders</w:t>
      </w:r>
      <w:r w:rsidR="00821662" w:rsidRPr="003C0885">
        <w:t>.</w:t>
      </w:r>
      <w:r w:rsidR="00821662">
        <w:t xml:space="preserve"> </w:t>
      </w:r>
      <w:r w:rsidR="00EE2357">
        <w:t xml:space="preserve">Implementation of these recommendations forms the basis for follow-up activities, in which other electoral assistance providers are often involved. </w:t>
      </w:r>
    </w:p>
    <w:p w14:paraId="46CAA18B" w14:textId="77777777" w:rsidR="003C3422" w:rsidRDefault="003C3422" w:rsidP="00B11BE8">
      <w:pPr>
        <w:pStyle w:val="ListParagraph"/>
        <w:numPr>
          <w:ilvl w:val="0"/>
          <w:numId w:val="0"/>
        </w:numPr>
        <w:ind w:left="720"/>
      </w:pPr>
    </w:p>
    <w:p w14:paraId="648A4BF4" w14:textId="08BA01DE" w:rsidR="00821662" w:rsidRPr="003C0885" w:rsidRDefault="00821662" w:rsidP="00821662">
      <w:pPr>
        <w:pStyle w:val="ListParagraph"/>
        <w:numPr>
          <w:ilvl w:val="0"/>
          <w:numId w:val="4"/>
        </w:numPr>
      </w:pPr>
      <w:r>
        <w:t>Electoral assistance</w:t>
      </w:r>
      <w:r w:rsidR="003C3422">
        <w:t xml:space="preserve"> </w:t>
      </w:r>
      <w:r>
        <w:t>includes technical advice and assistance provided to governments or electoral institutions that is carried out in an objective, impartial, neutral and independent manner</w:t>
      </w:r>
      <w:r w:rsidR="009842D3">
        <w:t xml:space="preserve"> at the </w:t>
      </w:r>
      <w:r w:rsidR="00EB5151">
        <w:t>request</w:t>
      </w:r>
      <w:r w:rsidR="009842D3">
        <w:t xml:space="preserve"> of </w:t>
      </w:r>
      <w:r w:rsidR="00B75D3F">
        <w:t>s</w:t>
      </w:r>
      <w:r w:rsidR="009842D3">
        <w:t>tates</w:t>
      </w:r>
      <w:r>
        <w:t xml:space="preserve">. </w:t>
      </w:r>
      <w:r w:rsidR="00B45C6E">
        <w:t>T</w:t>
      </w:r>
      <w:r>
        <w:t xml:space="preserve">he purpose of electoral assistance is generally not to assess or report on </w:t>
      </w:r>
      <w:r w:rsidR="00B75D3F">
        <w:t>s</w:t>
      </w:r>
      <w:r>
        <w:t xml:space="preserve">tate performance.  </w:t>
      </w:r>
    </w:p>
    <w:p w14:paraId="2890AAC1" w14:textId="77777777" w:rsidR="00821662" w:rsidRPr="003C0885" w:rsidRDefault="00821662" w:rsidP="00821662"/>
    <w:p w14:paraId="50F38328" w14:textId="42D4BC0D" w:rsidR="00821662" w:rsidRDefault="00821662" w:rsidP="00821662">
      <w:pPr>
        <w:pStyle w:val="ListParagraph"/>
        <w:numPr>
          <w:ilvl w:val="0"/>
          <w:numId w:val="4"/>
        </w:numPr>
      </w:pPr>
      <w:r w:rsidRPr="003C0885">
        <w:t xml:space="preserve">For the human rights community, monitoring and assessment take many forms, including </w:t>
      </w:r>
      <w:r w:rsidR="0050457B">
        <w:t xml:space="preserve">advocacy and </w:t>
      </w:r>
      <w:r w:rsidRPr="003C0885">
        <w:t>evaluative activities by civil society organizations; country visits, communications</w:t>
      </w:r>
      <w:r w:rsidR="00B75D3F">
        <w:t>,</w:t>
      </w:r>
      <w:r w:rsidRPr="003C0885">
        <w:t xml:space="preserve"> and thematic reports of special</w:t>
      </w:r>
      <w:r w:rsidR="00B75D3F">
        <w:t>-</w:t>
      </w:r>
      <w:r w:rsidRPr="003C0885">
        <w:t xml:space="preserve">procedures mandate holders; the review of </w:t>
      </w:r>
      <w:r w:rsidR="00B75D3F">
        <w:t>s</w:t>
      </w:r>
      <w:r w:rsidRPr="003C0885">
        <w:t>tates</w:t>
      </w:r>
      <w:r w:rsidR="00B75D3F">
        <w:t>’</w:t>
      </w:r>
      <w:r w:rsidRPr="003C0885">
        <w:t xml:space="preserve"> reports by treaty</w:t>
      </w:r>
      <w:r w:rsidR="00B75D3F">
        <w:t>-</w:t>
      </w:r>
      <w:r w:rsidRPr="003C0885">
        <w:t>monitoring bodies</w:t>
      </w:r>
      <w:r w:rsidR="00B75D3F">
        <w:t>,</w:t>
      </w:r>
      <w:r w:rsidRPr="003C0885">
        <w:t xml:space="preserve"> and the issuance of general </w:t>
      </w:r>
      <w:r w:rsidRPr="003C0885">
        <w:lastRenderedPageBreak/>
        <w:t>comments; and the</w:t>
      </w:r>
      <w:r w:rsidR="00A04063">
        <w:t xml:space="preserve"> </w:t>
      </w:r>
      <w:r w:rsidRPr="003C0885">
        <w:t xml:space="preserve">peer-to-peer </w:t>
      </w:r>
      <w:r w:rsidR="00414932">
        <w:t xml:space="preserve">Universal Periodic Review </w:t>
      </w:r>
      <w:r w:rsidRPr="003C0885">
        <w:t xml:space="preserve">process. The </w:t>
      </w:r>
      <w:r w:rsidR="00A04063">
        <w:t xml:space="preserve">outputs of </w:t>
      </w:r>
      <w:r w:rsidR="0050457B">
        <w:t xml:space="preserve">human rights </w:t>
      </w:r>
      <w:r w:rsidR="00A04063">
        <w:t xml:space="preserve">mechanisms </w:t>
      </w:r>
      <w:r w:rsidRPr="003C0885">
        <w:t xml:space="preserve">are recommendations to </w:t>
      </w:r>
      <w:r w:rsidR="00B75D3F">
        <w:t>s</w:t>
      </w:r>
      <w:r w:rsidRPr="003C0885">
        <w:t>tate</w:t>
      </w:r>
      <w:r>
        <w:t>s</w:t>
      </w:r>
      <w:r w:rsidRPr="003C0885">
        <w:t xml:space="preserve"> on how to better advance and promote </w:t>
      </w:r>
      <w:r>
        <w:t>human</w:t>
      </w:r>
      <w:r w:rsidRPr="003C0885">
        <w:t xml:space="preserve"> rights and </w:t>
      </w:r>
      <w:r>
        <w:t xml:space="preserve">fundamental </w:t>
      </w:r>
      <w:r w:rsidRPr="003C0885">
        <w:t xml:space="preserve">freedoms. These recommendations then become the basis for more concerted follow-up in the months and years </w:t>
      </w:r>
      <w:r>
        <w:t>that follow</w:t>
      </w:r>
      <w:r w:rsidRPr="003C0885">
        <w:t>.</w:t>
      </w:r>
    </w:p>
    <w:p w14:paraId="28FB7597" w14:textId="77777777" w:rsidR="00821662" w:rsidRDefault="00821662" w:rsidP="00821662"/>
    <w:p w14:paraId="51DAF673" w14:textId="36D66745" w:rsidR="00821662" w:rsidRPr="003C0885" w:rsidRDefault="00821662" w:rsidP="00821662">
      <w:pPr>
        <w:pStyle w:val="ListParagraph"/>
        <w:numPr>
          <w:ilvl w:val="0"/>
          <w:numId w:val="4"/>
        </w:numPr>
      </w:pPr>
      <w:r>
        <w:t>The human rights and election</w:t>
      </w:r>
      <w:r w:rsidR="005D3FAE">
        <w:t xml:space="preserve"> </w:t>
      </w:r>
      <w:r>
        <w:t>communit</w:t>
      </w:r>
      <w:r w:rsidR="00B75D3F">
        <w:t>ies</w:t>
      </w:r>
      <w:r>
        <w:t xml:space="preserve">, as well as </w:t>
      </w:r>
      <w:r w:rsidR="00B75D3F">
        <w:t>s</w:t>
      </w:r>
      <w:r>
        <w:t xml:space="preserve">tates under review, are increasingly considering ways to support the implementation of recommendations. This includes engaging new audiences and forging new partnerships to advance the realization of </w:t>
      </w:r>
      <w:r w:rsidR="0050457B">
        <w:t xml:space="preserve">genuine democratic </w:t>
      </w:r>
      <w:r>
        <w:t>elections and human rights.</w:t>
      </w:r>
    </w:p>
    <w:p w14:paraId="582D7663" w14:textId="77777777" w:rsidR="00821662" w:rsidRPr="003C0885" w:rsidRDefault="00821662" w:rsidP="00821662"/>
    <w:p w14:paraId="6323A149" w14:textId="21008879" w:rsidR="00821662" w:rsidRDefault="001A650F" w:rsidP="00821662">
      <w:pPr>
        <w:pStyle w:val="ListParagraph"/>
        <w:numPr>
          <w:ilvl w:val="0"/>
          <w:numId w:val="4"/>
        </w:numPr>
      </w:pPr>
      <w:r>
        <w:t>T</w:t>
      </w:r>
      <w:r w:rsidR="00821662" w:rsidRPr="003C0885">
        <w:t xml:space="preserve">o date there has been </w:t>
      </w:r>
      <w:r>
        <w:t xml:space="preserve">relatively </w:t>
      </w:r>
      <w:r w:rsidR="00821662" w:rsidRPr="003C0885">
        <w:t xml:space="preserve">limited engagement and communication </w:t>
      </w:r>
      <w:r w:rsidR="00821662">
        <w:t>between</w:t>
      </w:r>
      <w:r w:rsidR="00821662" w:rsidRPr="003C0885">
        <w:t xml:space="preserve"> the two communities. Electoral rights and processes receive </w:t>
      </w:r>
      <w:r w:rsidR="005D3FAE">
        <w:t>insufficient</w:t>
      </w:r>
      <w:r w:rsidR="00821662" w:rsidRPr="003C0885">
        <w:t xml:space="preserve"> attention from the </w:t>
      </w:r>
      <w:r w:rsidR="00821662">
        <w:t>universal and regional</w:t>
      </w:r>
      <w:r w:rsidR="00821662" w:rsidRPr="003C0885">
        <w:t xml:space="preserve"> human rights system</w:t>
      </w:r>
      <w:r w:rsidR="00821662">
        <w:t>s</w:t>
      </w:r>
      <w:r w:rsidR="00821662" w:rsidRPr="003C0885">
        <w:t xml:space="preserve">. At the same time, </w:t>
      </w:r>
      <w:r w:rsidR="00821662">
        <w:t xml:space="preserve">the election community does not </w:t>
      </w:r>
      <w:r w:rsidR="00821662" w:rsidRPr="003C0885">
        <w:t xml:space="preserve">engage consistently with human rights </w:t>
      </w:r>
      <w:r w:rsidR="005D3FAE">
        <w:t xml:space="preserve">organizations and </w:t>
      </w:r>
      <w:r w:rsidR="00821662" w:rsidRPr="003C0885">
        <w:t xml:space="preserve">mechanisms or the experts and </w:t>
      </w:r>
      <w:r w:rsidR="00B75D3F">
        <w:t>s</w:t>
      </w:r>
      <w:r w:rsidR="00821662" w:rsidRPr="003C0885">
        <w:t>tate</w:t>
      </w:r>
      <w:r w:rsidR="00821662">
        <w:t xml:space="preserve"> representatives</w:t>
      </w:r>
      <w:r w:rsidR="00821662" w:rsidRPr="003C0885">
        <w:t xml:space="preserve"> involved in them.</w:t>
      </w:r>
    </w:p>
    <w:p w14:paraId="53415D9D" w14:textId="77777777" w:rsidR="001A2823" w:rsidRDefault="001A2823" w:rsidP="00B11BE8"/>
    <w:p w14:paraId="500BDA18" w14:textId="2C806047" w:rsidR="001A2823" w:rsidRPr="003C0885" w:rsidRDefault="001A2823" w:rsidP="00821662">
      <w:pPr>
        <w:pStyle w:val="ListParagraph"/>
        <w:numPr>
          <w:ilvl w:val="0"/>
          <w:numId w:val="4"/>
        </w:numPr>
      </w:pPr>
      <w:r w:rsidRPr="003C0885">
        <w:t xml:space="preserve">Expanding collaboration and communication across the </w:t>
      </w:r>
      <w:r w:rsidR="0050457B">
        <w:t>election</w:t>
      </w:r>
      <w:r w:rsidR="0050457B" w:rsidRPr="003C0885">
        <w:t xml:space="preserve"> </w:t>
      </w:r>
      <w:r w:rsidRPr="003C0885">
        <w:t xml:space="preserve">and human rights communities </w:t>
      </w:r>
      <w:r>
        <w:t>will i</w:t>
      </w:r>
      <w:r w:rsidRPr="003C0885">
        <w:t>mprov</w:t>
      </w:r>
      <w:r>
        <w:t>e</w:t>
      </w:r>
      <w:r w:rsidRPr="003C0885">
        <w:t xml:space="preserve"> the </w:t>
      </w:r>
      <w:r>
        <w:t xml:space="preserve">promotion and </w:t>
      </w:r>
      <w:r w:rsidRPr="003C0885">
        <w:t>protection</w:t>
      </w:r>
      <w:r>
        <w:t xml:space="preserve"> </w:t>
      </w:r>
      <w:r w:rsidRPr="003C0885">
        <w:t>of human rights and fundamental freedoms in electoral and political processes</w:t>
      </w:r>
      <w:r>
        <w:t>. This aims to support the continued evolution of international law on elections, good governance and the right to participate in public affairs. This in turn will facilitate the ability to hold governments and institutions accountable and will increase the capacity of individuals to claim their rights.</w:t>
      </w:r>
      <w:r w:rsidRPr="003C0885" w:rsidDel="008C0474">
        <w:t xml:space="preserve"> </w:t>
      </w:r>
    </w:p>
    <w:p w14:paraId="68EF47E2" w14:textId="77777777" w:rsidR="00821662" w:rsidRPr="003C0885" w:rsidRDefault="00821662" w:rsidP="00821662"/>
    <w:p w14:paraId="3EA58530" w14:textId="38C7D50E" w:rsidR="00821662" w:rsidRPr="003C0885" w:rsidRDefault="00370043" w:rsidP="00821662">
      <w:pPr>
        <w:pStyle w:val="ListParagraph"/>
        <w:numPr>
          <w:ilvl w:val="0"/>
          <w:numId w:val="4"/>
        </w:numPr>
      </w:pPr>
      <w:r>
        <w:t xml:space="preserve">Elections lie at the </w:t>
      </w:r>
      <w:r w:rsidRPr="003C0885">
        <w:t xml:space="preserve">intersection of three distinct but overlapping processes, involving </w:t>
      </w:r>
      <w:r w:rsidR="00F85EC0">
        <w:t xml:space="preserve">political, </w:t>
      </w:r>
      <w:r w:rsidRPr="003C0885">
        <w:t xml:space="preserve">technical, </w:t>
      </w:r>
      <w:r w:rsidR="00F85EC0">
        <w:t xml:space="preserve">and </w:t>
      </w:r>
      <w:r w:rsidRPr="003C0885">
        <w:t>human rights</w:t>
      </w:r>
      <w:r w:rsidR="00F85EC0">
        <w:t xml:space="preserve"> </w:t>
      </w:r>
      <w:r w:rsidRPr="003C0885">
        <w:t xml:space="preserve">considerations. </w:t>
      </w:r>
      <w:r w:rsidR="00821662" w:rsidRPr="008A120C">
        <w:t>Genuine democratic elections</w:t>
      </w:r>
      <w:r w:rsidR="00821662" w:rsidRPr="003C0885">
        <w:t xml:space="preserve"> </w:t>
      </w:r>
      <w:r w:rsidR="00821662">
        <w:t>are</w:t>
      </w:r>
      <w:r>
        <w:t xml:space="preserve"> o</w:t>
      </w:r>
      <w:r w:rsidR="00821662">
        <w:t xml:space="preserve">ne means of facilitating the fundamental right to participate in public affairs.  They are also </w:t>
      </w:r>
      <w:r w:rsidR="003822FE">
        <w:t xml:space="preserve">one </w:t>
      </w:r>
      <w:r w:rsidR="00821662">
        <w:t xml:space="preserve">mechanism by which the will of the people, as the basis of the authority of government, is expressed. </w:t>
      </w:r>
      <w:r w:rsidR="00596B53">
        <w:t>With due regard to diversity and pluralism, a</w:t>
      </w:r>
      <w:r w:rsidR="00821662">
        <w:t>n election must reflect the freely expressed choice of the people</w:t>
      </w:r>
      <w:r>
        <w:t xml:space="preserve">, who </w:t>
      </w:r>
      <w:r w:rsidR="00821662">
        <w:t xml:space="preserve">must have confidence that the outcome of the election reflects their choice. Factors beyond the technical administration of the election process, including political considerations, can help create a context conducive to </w:t>
      </w:r>
      <w:r w:rsidR="005C6665">
        <w:t>credible</w:t>
      </w:r>
      <w:r w:rsidR="00821662">
        <w:t xml:space="preserve"> elections. </w:t>
      </w:r>
      <w:r w:rsidR="00821662" w:rsidRPr="003C0885">
        <w:t>While political initiatives</w:t>
      </w:r>
      <w:r w:rsidR="00CD5EDF">
        <w:t xml:space="preserve"> (</w:t>
      </w:r>
      <w:r w:rsidR="003A6B03">
        <w:t>such as mediation, conflict prevention</w:t>
      </w:r>
      <w:r w:rsidR="00CD5EDF">
        <w:t>,</w:t>
      </w:r>
      <w:r w:rsidR="003A6B03">
        <w:t xml:space="preserve"> or</w:t>
      </w:r>
      <w:r w:rsidR="00CD5EDF">
        <w:t xml:space="preserve"> the use of good offices)</w:t>
      </w:r>
      <w:r w:rsidR="00821662">
        <w:t xml:space="preserve"> may at times be required in support of electoral processes</w:t>
      </w:r>
      <w:r w:rsidR="00B75D3F">
        <w:t>,</w:t>
      </w:r>
      <w:r w:rsidR="00915B87">
        <w:t xml:space="preserve"> these should be </w:t>
      </w:r>
      <w:r w:rsidR="00821662" w:rsidRPr="003C0885">
        <w:t xml:space="preserve">consistent with the international human rights framework. </w:t>
      </w:r>
    </w:p>
    <w:p w14:paraId="51703905" w14:textId="77777777" w:rsidR="00821662" w:rsidRPr="003C0885" w:rsidRDefault="00821662" w:rsidP="00821662"/>
    <w:p w14:paraId="5948473C" w14:textId="2F63E043" w:rsidR="00821662" w:rsidRPr="003C0885" w:rsidRDefault="00821662" w:rsidP="00810BFB">
      <w:pPr>
        <w:pStyle w:val="Heading1"/>
      </w:pPr>
      <w:r>
        <w:t>General</w:t>
      </w:r>
      <w:r w:rsidRPr="003C0885">
        <w:t xml:space="preserve"> Principles</w:t>
      </w:r>
      <w:r>
        <w:t xml:space="preserve"> for a Human</w:t>
      </w:r>
      <w:r w:rsidR="00B75D3F">
        <w:t xml:space="preserve"> </w:t>
      </w:r>
      <w:r>
        <w:t>Rights</w:t>
      </w:r>
      <w:r w:rsidR="00B75D3F">
        <w:t>-</w:t>
      </w:r>
      <w:r>
        <w:t>Based Approach to Elections</w:t>
      </w:r>
      <w:r w:rsidRPr="003C0885">
        <w:t xml:space="preserve">  </w:t>
      </w:r>
    </w:p>
    <w:p w14:paraId="44E1C182" w14:textId="77777777" w:rsidR="00821662" w:rsidRPr="003C0885" w:rsidRDefault="00821662" w:rsidP="00821662"/>
    <w:p w14:paraId="23C9639B" w14:textId="1DF7A839" w:rsidR="00821662" w:rsidRDefault="00821662" w:rsidP="00821662">
      <w:pPr>
        <w:pStyle w:val="ListParagraph"/>
        <w:numPr>
          <w:ilvl w:val="0"/>
          <w:numId w:val="4"/>
        </w:numPr>
      </w:pPr>
      <w:r w:rsidRPr="003C0885">
        <w:t xml:space="preserve">Through the Human Rights and Election Standards consultative process, the following </w:t>
      </w:r>
      <w:r w:rsidR="00221351">
        <w:t xml:space="preserve">existing </w:t>
      </w:r>
      <w:r w:rsidRPr="003C0885">
        <w:t xml:space="preserve">general principles </w:t>
      </w:r>
      <w:r w:rsidR="00221351">
        <w:t xml:space="preserve">were </w:t>
      </w:r>
      <w:r w:rsidR="00776779">
        <w:t xml:space="preserve">recalled </w:t>
      </w:r>
      <w:r w:rsidRPr="003C0885">
        <w:t>as relevant to guide cooperative efforts going forward:</w:t>
      </w:r>
    </w:p>
    <w:p w14:paraId="53B0FFDD" w14:textId="77777777" w:rsidR="00810BFB" w:rsidRPr="003C0885" w:rsidRDefault="00810BFB" w:rsidP="00810BFB">
      <w:pPr>
        <w:pStyle w:val="ListParagraph"/>
        <w:numPr>
          <w:ilvl w:val="0"/>
          <w:numId w:val="0"/>
        </w:numPr>
        <w:ind w:left="720"/>
      </w:pPr>
    </w:p>
    <w:p w14:paraId="74CED452" w14:textId="259F3FE9" w:rsidR="00821662" w:rsidRPr="003C0885" w:rsidRDefault="00821662" w:rsidP="00821662">
      <w:pPr>
        <w:pStyle w:val="ListParagraph"/>
        <w:numPr>
          <w:ilvl w:val="0"/>
          <w:numId w:val="4"/>
        </w:numPr>
      </w:pPr>
      <w:r w:rsidRPr="003C0885">
        <w:lastRenderedPageBreak/>
        <w:t xml:space="preserve">The universality of human rights, a cornerstone of international human rights law, means that human rights are inherent to all human beings everywhere. These rights are interrelated, interdependent and indivisible. Further, the </w:t>
      </w:r>
      <w:r>
        <w:t>rights</w:t>
      </w:r>
      <w:r w:rsidRPr="003C0885">
        <w:t xml:space="preserve"> of equality and non-discrimination </w:t>
      </w:r>
      <w:r>
        <w:t>require</w:t>
      </w:r>
      <w:r w:rsidRPr="003C0885">
        <w:t xml:space="preserve"> that all individuals</w:t>
      </w:r>
      <w:r w:rsidR="00A261D1">
        <w:t xml:space="preserve"> </w:t>
      </w:r>
      <w:r w:rsidR="00283EA6">
        <w:t>m</w:t>
      </w:r>
      <w:r w:rsidR="00B179A9">
        <w:t xml:space="preserve">ust </w:t>
      </w:r>
      <w:r>
        <w:t xml:space="preserve">be treated equally and that </w:t>
      </w:r>
      <w:r w:rsidRPr="003C0885">
        <w:t>no one should suffer discrimination on the basis of race, color, ethnicity, gender, age, language, sexual orientation</w:t>
      </w:r>
      <w:r>
        <w:t xml:space="preserve"> or gender identity</w:t>
      </w:r>
      <w:r w:rsidRPr="003C0885">
        <w:t>, religion, political or other opinion, national, social or geographical origin, disability, property, birth or other status.</w:t>
      </w:r>
    </w:p>
    <w:p w14:paraId="3DB446CC" w14:textId="77777777" w:rsidR="00821662" w:rsidRPr="003C0885" w:rsidRDefault="00821662" w:rsidP="00821662"/>
    <w:p w14:paraId="480CE76F" w14:textId="2BDB773A" w:rsidR="00821662" w:rsidRPr="003C0885" w:rsidRDefault="00821662" w:rsidP="00821662">
      <w:pPr>
        <w:pStyle w:val="ListParagraph"/>
        <w:numPr>
          <w:ilvl w:val="0"/>
          <w:numId w:val="4"/>
        </w:numPr>
      </w:pPr>
      <w:r w:rsidRPr="003C0885">
        <w:t>States have the obligation under international law to respect, protect, and fulfil</w:t>
      </w:r>
      <w:r w:rsidR="00875B7F">
        <w:t>l</w:t>
      </w:r>
      <w:r w:rsidRPr="003C0885">
        <w:t xml:space="preserve"> human rights.</w:t>
      </w:r>
      <w:r>
        <w:t xml:space="preserve"> </w:t>
      </w:r>
      <w:r w:rsidR="0033103F">
        <w:t>To do so,</w:t>
      </w:r>
      <w:r w:rsidR="00B74CD1">
        <w:t xml:space="preserve"> </w:t>
      </w:r>
      <w:r w:rsidR="00875B7F">
        <w:t>s</w:t>
      </w:r>
      <w:r w:rsidRPr="003C0885">
        <w:t>tates should take</w:t>
      </w:r>
      <w:r w:rsidR="000E5A35">
        <w:t xml:space="preserve"> proactive steps</w:t>
      </w:r>
      <w:r w:rsidRPr="003C0885">
        <w:t xml:space="preserve"> to facilitate the enjoyment of human rights, including by advancing the inclusion and </w:t>
      </w:r>
      <w:r w:rsidR="00FA3048">
        <w:t xml:space="preserve">effective </w:t>
      </w:r>
      <w:r w:rsidRPr="003C0885">
        <w:t xml:space="preserve">participation of all people, especially minorities, women, young people, indigenous peoples, persons with disabilities, </w:t>
      </w:r>
      <w:r w:rsidR="000E5A35">
        <w:t xml:space="preserve">persons deprived of liberty, people living in extreme poverty, internally displaced people, </w:t>
      </w:r>
      <w:r w:rsidRPr="003C0885">
        <w:t>and other</w:t>
      </w:r>
      <w:r>
        <w:t>s who are marginalized</w:t>
      </w:r>
      <w:r w:rsidR="00B74CD1">
        <w:t xml:space="preserve"> and experience barriers to equal participation</w:t>
      </w:r>
      <w:r w:rsidRPr="003C0885">
        <w:t>.</w:t>
      </w:r>
      <w:r w:rsidR="0033103F">
        <w:t xml:space="preserve"> </w:t>
      </w:r>
      <w:r w:rsidR="008A4BD6">
        <w:t xml:space="preserve">State institutions will require appropriate resources to meet these responsibilities. </w:t>
      </w:r>
      <w:r w:rsidRPr="003C0885">
        <w:t xml:space="preserve">In addition, </w:t>
      </w:r>
      <w:r w:rsidR="00122C62">
        <w:t xml:space="preserve">those </w:t>
      </w:r>
      <w:r w:rsidR="00B74CD1">
        <w:t>w</w:t>
      </w:r>
      <w:r>
        <w:t xml:space="preserve">orking on elections </w:t>
      </w:r>
      <w:r w:rsidRPr="003C0885">
        <w:t>should</w:t>
      </w:r>
      <w:r w:rsidR="00B74CD1">
        <w:t xml:space="preserve"> address </w:t>
      </w:r>
      <w:r w:rsidRPr="003C0885">
        <w:t>the needs of these and other groups</w:t>
      </w:r>
      <w:r w:rsidR="00122C62">
        <w:t>.</w:t>
      </w:r>
      <w:r w:rsidRPr="003C0885">
        <w:t xml:space="preserve"> </w:t>
      </w:r>
    </w:p>
    <w:p w14:paraId="321779AC" w14:textId="77777777" w:rsidR="00821662" w:rsidRPr="003C0885" w:rsidRDefault="00821662" w:rsidP="00821662"/>
    <w:p w14:paraId="49A387FC" w14:textId="0E5EF5ED" w:rsidR="00821662" w:rsidRPr="003C0885" w:rsidRDefault="00937DF4" w:rsidP="00821662">
      <w:pPr>
        <w:pStyle w:val="ListParagraph"/>
        <w:numPr>
          <w:ilvl w:val="0"/>
          <w:numId w:val="4"/>
        </w:numPr>
      </w:pPr>
      <w:r>
        <w:t>The</w:t>
      </w:r>
      <w:r w:rsidR="00821662" w:rsidRPr="003C0885">
        <w:t xml:space="preserve"> right to participate in public affairs,</w:t>
      </w:r>
      <w:r w:rsidR="0033103F">
        <w:t xml:space="preserve"> including the right</w:t>
      </w:r>
      <w:r w:rsidR="00821662" w:rsidRPr="003C0885">
        <w:t xml:space="preserve"> to vote and to </w:t>
      </w:r>
      <w:r w:rsidR="00B179A9">
        <w:t>stand for election</w:t>
      </w:r>
      <w:r w:rsidR="00875B7F">
        <w:t>,</w:t>
      </w:r>
      <w:r w:rsidR="00821662" w:rsidRPr="003C0885">
        <w:t xml:space="preserve"> </w:t>
      </w:r>
      <w:r w:rsidR="00875B7F">
        <w:t xml:space="preserve">is an </w:t>
      </w:r>
      <w:r w:rsidR="00821662" w:rsidRPr="003C0885">
        <w:t xml:space="preserve">internationally recognized human right. As such, it is important to consider </w:t>
      </w:r>
      <w:r w:rsidR="00821662" w:rsidRPr="000F1F07">
        <w:t xml:space="preserve">genuine </w:t>
      </w:r>
      <w:r w:rsidR="00821662" w:rsidRPr="00FB0B5D">
        <w:t>democratic elections</w:t>
      </w:r>
      <w:r w:rsidR="00821662" w:rsidRPr="000F1F07">
        <w:t xml:space="preserve"> within</w:t>
      </w:r>
      <w:r w:rsidR="00821662" w:rsidRPr="003C0885">
        <w:t xml:space="preserve"> an international human rights framework and </w:t>
      </w:r>
      <w:r w:rsidR="00821662">
        <w:t xml:space="preserve">using a </w:t>
      </w:r>
      <w:r w:rsidR="00821662" w:rsidRPr="003C0885">
        <w:t>rights-based approach.</w:t>
      </w:r>
    </w:p>
    <w:p w14:paraId="21A4B9D9" w14:textId="77777777" w:rsidR="00821662" w:rsidRPr="003C0885" w:rsidRDefault="00821662" w:rsidP="00821662"/>
    <w:p w14:paraId="477A7181" w14:textId="1463CF2A" w:rsidR="00821662" w:rsidRPr="003C0885" w:rsidRDefault="00821662" w:rsidP="00821662">
      <w:pPr>
        <w:pStyle w:val="ListParagraph"/>
        <w:numPr>
          <w:ilvl w:val="0"/>
          <w:numId w:val="4"/>
        </w:numPr>
      </w:pPr>
      <w:r w:rsidRPr="00FC04BF">
        <w:t>Genuine democratic</w:t>
      </w:r>
      <w:r w:rsidRPr="000F1F07">
        <w:t xml:space="preserve"> </w:t>
      </w:r>
      <w:r w:rsidRPr="003C0885">
        <w:t>elections require an environment conducive to respect for and enjoyment of human rights and fundamental freedoms on an ongoing basis, without discrimination and without arbitrary</w:t>
      </w:r>
      <w:r>
        <w:t xml:space="preserve"> or </w:t>
      </w:r>
      <w:r w:rsidRPr="003C0885">
        <w:t>unreasonable restrictions</w:t>
      </w:r>
      <w:r>
        <w:t>.</w:t>
      </w:r>
      <w:r w:rsidR="00950FB5">
        <w:t xml:space="preserve"> States should ensure accessibility and provision of reasonable accommodation. </w:t>
      </w:r>
      <w:r>
        <w:t>Key human rights</w:t>
      </w:r>
      <w:r w:rsidR="00875B7F">
        <w:t>,</w:t>
      </w:r>
      <w:r w:rsidRPr="003C0885">
        <w:t xml:space="preserve"> </w:t>
      </w:r>
      <w:r>
        <w:t xml:space="preserve">whether exercised online or offline, </w:t>
      </w:r>
      <w:r w:rsidRPr="003C0885">
        <w:t>includ</w:t>
      </w:r>
      <w:r>
        <w:t>e</w:t>
      </w:r>
      <w:r w:rsidRPr="003C0885">
        <w:t xml:space="preserve"> but </w:t>
      </w:r>
      <w:r>
        <w:t xml:space="preserve">are </w:t>
      </w:r>
      <w:r w:rsidRPr="003C0885">
        <w:t xml:space="preserve">not limited to: </w:t>
      </w:r>
    </w:p>
    <w:p w14:paraId="3F613A21" w14:textId="77777777" w:rsidR="00821662" w:rsidRPr="003C0885" w:rsidRDefault="00821662" w:rsidP="00821662">
      <w:pPr>
        <w:pStyle w:val="ListParagraph"/>
        <w:numPr>
          <w:ilvl w:val="1"/>
          <w:numId w:val="5"/>
        </w:numPr>
      </w:pPr>
      <w:r w:rsidRPr="003C0885">
        <w:t>Freedom of peaceful assembly and of association</w:t>
      </w:r>
      <w:r>
        <w:t>;</w:t>
      </w:r>
    </w:p>
    <w:p w14:paraId="0FFFDCC8" w14:textId="77777777" w:rsidR="00821662" w:rsidRDefault="00821662" w:rsidP="00821662">
      <w:pPr>
        <w:pStyle w:val="ListParagraph"/>
        <w:numPr>
          <w:ilvl w:val="1"/>
          <w:numId w:val="5"/>
        </w:numPr>
      </w:pPr>
      <w:r w:rsidRPr="003C0885">
        <w:t>Freedom of opinion and expression and access to</w:t>
      </w:r>
      <w:r>
        <w:t xml:space="preserve"> i</w:t>
      </w:r>
      <w:r w:rsidRPr="003C0885">
        <w:t>nformation</w:t>
      </w:r>
      <w:r>
        <w:t xml:space="preserve">; </w:t>
      </w:r>
    </w:p>
    <w:p w14:paraId="0899F65C" w14:textId="30ECD2B6" w:rsidR="00F478A9" w:rsidRPr="003C0885" w:rsidRDefault="00BE66B3" w:rsidP="00821662">
      <w:pPr>
        <w:pStyle w:val="ListParagraph"/>
        <w:numPr>
          <w:ilvl w:val="1"/>
          <w:numId w:val="5"/>
        </w:numPr>
      </w:pPr>
      <w:r>
        <w:t>Security of the person;</w:t>
      </w:r>
      <w:r w:rsidR="00BD75F8">
        <w:t xml:space="preserve"> and</w:t>
      </w:r>
    </w:p>
    <w:p w14:paraId="69D171DB" w14:textId="085C4E63" w:rsidR="00821662" w:rsidRPr="003C0885" w:rsidRDefault="00821662" w:rsidP="00821662">
      <w:pPr>
        <w:pStyle w:val="ListParagraph"/>
        <w:numPr>
          <w:ilvl w:val="1"/>
          <w:numId w:val="5"/>
        </w:numPr>
      </w:pPr>
      <w:r w:rsidRPr="003C0885">
        <w:t>The right to remedy and access to justice</w:t>
      </w:r>
      <w:r w:rsidR="00BD75F8">
        <w:t>.</w:t>
      </w:r>
    </w:p>
    <w:p w14:paraId="2309CDE7" w14:textId="77777777" w:rsidR="00821662" w:rsidRPr="003C0885" w:rsidRDefault="00821662" w:rsidP="00821662"/>
    <w:p w14:paraId="140D6FCA" w14:textId="301112B8" w:rsidR="00821662" w:rsidRPr="003C0885" w:rsidRDefault="00821662" w:rsidP="00821662">
      <w:pPr>
        <w:pStyle w:val="ListParagraph"/>
        <w:numPr>
          <w:ilvl w:val="0"/>
          <w:numId w:val="4"/>
        </w:numPr>
      </w:pPr>
      <w:r w:rsidRPr="003C0885">
        <w:t xml:space="preserve">The principles and the recommendations included in this </w:t>
      </w:r>
      <w:r w:rsidRPr="00560C7F">
        <w:t>Plan of Action</w:t>
      </w:r>
      <w:r w:rsidRPr="00875B7F">
        <w:t>,</w:t>
      </w:r>
      <w:r w:rsidRPr="003C0885">
        <w:t xml:space="preserve"> while formulated primarily in the context of United Nations human rights mechanisms, apply equally to regional human rights mechanisms</w:t>
      </w:r>
      <w:r w:rsidR="00630993">
        <w:t xml:space="preserve"> and to</w:t>
      </w:r>
      <w:r w:rsidR="00596B53">
        <w:t xml:space="preserve"> </w:t>
      </w:r>
      <w:r w:rsidR="00630993">
        <w:t xml:space="preserve">their </w:t>
      </w:r>
      <w:r w:rsidR="00596B53">
        <w:t>cooperation with international human rights mechanisms</w:t>
      </w:r>
      <w:r w:rsidRPr="003C0885">
        <w:t xml:space="preserve"> </w:t>
      </w:r>
      <w:bookmarkStart w:id="0" w:name="_Hlk498696950"/>
      <w:r w:rsidRPr="003C0885">
        <w:t>in relation to their efforts on electoral and participatory rights</w:t>
      </w:r>
      <w:bookmarkEnd w:id="0"/>
      <w:r w:rsidRPr="003C0885">
        <w:t>.</w:t>
      </w:r>
      <w:r w:rsidR="00596B53">
        <w:t xml:space="preserve"> </w:t>
      </w:r>
    </w:p>
    <w:p w14:paraId="628656DF" w14:textId="77777777" w:rsidR="00821662" w:rsidRPr="003C0885" w:rsidRDefault="00821662" w:rsidP="00821662"/>
    <w:p w14:paraId="56BF9595" w14:textId="09D5843F" w:rsidR="00821662" w:rsidRPr="003C0885" w:rsidRDefault="00821662" w:rsidP="00821662">
      <w:pPr>
        <w:pStyle w:val="ListParagraph"/>
        <w:numPr>
          <w:ilvl w:val="0"/>
          <w:numId w:val="4"/>
        </w:numPr>
      </w:pPr>
      <w:r w:rsidRPr="003C0885">
        <w:t xml:space="preserve">In addition, the principles and </w:t>
      </w:r>
      <w:r>
        <w:t xml:space="preserve">many of </w:t>
      </w:r>
      <w:r w:rsidRPr="003C0885">
        <w:t xml:space="preserve">the recommendations included in this </w:t>
      </w:r>
      <w:r w:rsidRPr="00560C7F">
        <w:t>Plan of Action</w:t>
      </w:r>
      <w:r w:rsidRPr="003C0885">
        <w:t xml:space="preserve"> could </w:t>
      </w:r>
      <w:r>
        <w:t>also apply</w:t>
      </w:r>
      <w:r w:rsidRPr="003C0885">
        <w:t xml:space="preserve"> to </w:t>
      </w:r>
      <w:r w:rsidR="00875B7F">
        <w:t>n</w:t>
      </w:r>
      <w:r w:rsidRPr="003C0885">
        <w:t xml:space="preserve">ational </w:t>
      </w:r>
      <w:r w:rsidR="00875B7F">
        <w:t>h</w:t>
      </w:r>
      <w:r w:rsidRPr="003C0885">
        <w:t xml:space="preserve">uman </w:t>
      </w:r>
      <w:r w:rsidR="00875B7F">
        <w:t>r</w:t>
      </w:r>
      <w:r w:rsidRPr="003C0885">
        <w:t xml:space="preserve">ights </w:t>
      </w:r>
      <w:r w:rsidR="00875B7F">
        <w:t>i</w:t>
      </w:r>
      <w:r>
        <w:t>nstitutions, equality bodies,</w:t>
      </w:r>
      <w:r w:rsidRPr="003C0885">
        <w:t xml:space="preserve"> and civil society organizations working on human rights in relation to their efforts on electoral and participatory rights.</w:t>
      </w:r>
    </w:p>
    <w:p w14:paraId="0EDA568A" w14:textId="5F3F2D31" w:rsidR="00821662" w:rsidRPr="003C0885" w:rsidRDefault="00821662" w:rsidP="00821662">
      <w:pPr>
        <w:pStyle w:val="Heading1"/>
      </w:pPr>
      <w:r w:rsidRPr="003C0885">
        <w:lastRenderedPageBreak/>
        <w:t xml:space="preserve">Action </w:t>
      </w:r>
      <w:r w:rsidR="00875B7F">
        <w:t>S</w:t>
      </w:r>
      <w:r w:rsidRPr="003C0885">
        <w:t>teps</w:t>
      </w:r>
    </w:p>
    <w:p w14:paraId="6936A4B4" w14:textId="77777777" w:rsidR="00821662" w:rsidRPr="003C0885" w:rsidRDefault="00821662" w:rsidP="00821662"/>
    <w:p w14:paraId="70596C8C" w14:textId="50F741C4" w:rsidR="00821662" w:rsidRPr="003C0885" w:rsidRDefault="00821662" w:rsidP="00821662">
      <w:pPr>
        <w:pStyle w:val="ListParagraph"/>
        <w:numPr>
          <w:ilvl w:val="0"/>
          <w:numId w:val="4"/>
        </w:numPr>
      </w:pPr>
      <w:r w:rsidRPr="003C0885">
        <w:t xml:space="preserve">Acknowledging the </w:t>
      </w:r>
      <w:r>
        <w:t xml:space="preserve">aforementioned </w:t>
      </w:r>
      <w:r w:rsidRPr="003C0885">
        <w:t>principles and shared objectives</w:t>
      </w:r>
      <w:r w:rsidR="00B0737E">
        <w:t>,</w:t>
      </w:r>
      <w:r w:rsidRPr="003C0885">
        <w:t xml:space="preserve"> </w:t>
      </w:r>
      <w:r>
        <w:t xml:space="preserve">organizations and individuals supporting this </w:t>
      </w:r>
      <w:r w:rsidRPr="00560C7F">
        <w:t>Plan of Action</w:t>
      </w:r>
      <w:r>
        <w:t xml:space="preserve"> </w:t>
      </w:r>
      <w:r w:rsidRPr="003C0885">
        <w:t xml:space="preserve">commit to disseminating </w:t>
      </w:r>
      <w:r>
        <w:t xml:space="preserve">and acting upon </w:t>
      </w:r>
      <w:r w:rsidRPr="003C0885">
        <w:t>the following recommendations</w:t>
      </w:r>
      <w:r w:rsidR="00B45C6E">
        <w:t xml:space="preserve"> within the limits of their mandates</w:t>
      </w:r>
      <w:r w:rsidRPr="003C0885">
        <w:t>.</w:t>
      </w:r>
      <w:r w:rsidR="009F3D2F">
        <w:t xml:space="preserve"> </w:t>
      </w:r>
    </w:p>
    <w:p w14:paraId="31A62AED" w14:textId="77777777" w:rsidR="00821662" w:rsidRPr="003C0885" w:rsidRDefault="00821662" w:rsidP="00821662"/>
    <w:p w14:paraId="4EC98782" w14:textId="73FAF597" w:rsidR="00821662" w:rsidRPr="003C0885" w:rsidRDefault="00821662" w:rsidP="00821662">
      <w:pPr>
        <w:pStyle w:val="Heading2"/>
      </w:pPr>
      <w:r w:rsidRPr="003C0885">
        <w:t>Increase use of international human rights law and human rights mechanisms</w:t>
      </w:r>
      <w:r>
        <w:t xml:space="preserve"> in the context of elections</w:t>
      </w:r>
      <w:r w:rsidR="00875B7F">
        <w:t>.</w:t>
      </w:r>
      <w:r w:rsidRPr="003C0885">
        <w:t xml:space="preserve"> </w:t>
      </w:r>
    </w:p>
    <w:p w14:paraId="24607606" w14:textId="77777777" w:rsidR="00821662" w:rsidRPr="003C0885" w:rsidRDefault="00821662" w:rsidP="00821662"/>
    <w:p w14:paraId="44B2B930" w14:textId="69073D6B" w:rsidR="00821662" w:rsidRPr="003C0885" w:rsidRDefault="00821662" w:rsidP="00821662">
      <w:pPr>
        <w:pStyle w:val="ListParagraph"/>
        <w:numPr>
          <w:ilvl w:val="0"/>
          <w:numId w:val="4"/>
        </w:numPr>
      </w:pPr>
      <w:r w:rsidRPr="003C0885">
        <w:t>Recognizing the value of the work of human rights mechanisms to understanding the overall human rights environment in which elections occur,</w:t>
      </w:r>
      <w:r w:rsidR="00634B5B">
        <w:t xml:space="preserve"> election observation and assistance</w:t>
      </w:r>
      <w:r w:rsidRPr="003C0885">
        <w:t xml:space="preserve"> </w:t>
      </w:r>
      <w:r w:rsidR="00973AEE">
        <w:t xml:space="preserve">practitioners </w:t>
      </w:r>
      <w:r w:rsidRPr="003C0885">
        <w:t xml:space="preserve">should </w:t>
      </w:r>
      <w:r w:rsidR="00634B5B">
        <w:t xml:space="preserve">ensure that they </w:t>
      </w:r>
      <w:r w:rsidRPr="003C0885">
        <w:t xml:space="preserve">review and refer to </w:t>
      </w:r>
      <w:r w:rsidR="00634B5B">
        <w:t>human rights mechanism recommendations as p</w:t>
      </w:r>
      <w:r w:rsidRPr="003C0885">
        <w:t>art of their regular practice.</w:t>
      </w:r>
    </w:p>
    <w:p w14:paraId="17772F58" w14:textId="77777777" w:rsidR="00821662" w:rsidRPr="003C0885" w:rsidRDefault="00821662" w:rsidP="00821662"/>
    <w:p w14:paraId="526012B1" w14:textId="02F775CA" w:rsidR="00821662" w:rsidRPr="003C0885" w:rsidRDefault="00821662" w:rsidP="00821662">
      <w:pPr>
        <w:pStyle w:val="ListParagraph"/>
        <w:numPr>
          <w:ilvl w:val="0"/>
          <w:numId w:val="4"/>
        </w:numPr>
      </w:pPr>
      <w:r w:rsidRPr="003C0885">
        <w:t xml:space="preserve">In addition, election </w:t>
      </w:r>
      <w:r w:rsidR="0035496C">
        <w:t>observation organizations</w:t>
      </w:r>
      <w:r w:rsidR="0035496C" w:rsidRPr="003C0885">
        <w:t xml:space="preserve"> </w:t>
      </w:r>
      <w:r w:rsidRPr="003C0885">
        <w:t>should</w:t>
      </w:r>
      <w:r w:rsidR="00B83591">
        <w:t xml:space="preserve"> s</w:t>
      </w:r>
      <w:r w:rsidRPr="003C0885">
        <w:t>ubmit data-driven findings from their work to human rights mechanisms</w:t>
      </w:r>
      <w:r w:rsidR="005F5AE2">
        <w:t xml:space="preserve"> as appropriate</w:t>
      </w:r>
      <w:r w:rsidRPr="003C0885">
        <w:t>, including through</w:t>
      </w:r>
      <w:r>
        <w:t>:</w:t>
      </w:r>
      <w:r w:rsidRPr="003C0885">
        <w:t xml:space="preserve"> formal submissions to the treaty monitoring bodies and the UPR;</w:t>
      </w:r>
      <w:r>
        <w:t xml:space="preserve"> </w:t>
      </w:r>
      <w:r w:rsidRPr="003C0885">
        <w:t xml:space="preserve">use of the communications procedure of </w:t>
      </w:r>
      <w:r w:rsidR="005F5AE2">
        <w:t>human rights mechanisms</w:t>
      </w:r>
      <w:r w:rsidRPr="003C0885">
        <w:t>; and sharing reports with special</w:t>
      </w:r>
      <w:r w:rsidR="00875B7F">
        <w:t>-</w:t>
      </w:r>
      <w:r w:rsidRPr="003C0885">
        <w:t>procedures mandate holders.</w:t>
      </w:r>
      <w:r>
        <w:t xml:space="preserve"> The cyclical nature of the reporting schedule of the human rights mechanisms, as well as election processes themselves, can be beneficial to collaboration and concerted follow</w:t>
      </w:r>
      <w:r w:rsidR="00875B7F">
        <w:t>-</w:t>
      </w:r>
      <w:r>
        <w:t>up by the two communities, providing new and ongoing opportunities for engagement.</w:t>
      </w:r>
    </w:p>
    <w:p w14:paraId="4AB9F454" w14:textId="77777777" w:rsidR="00821662" w:rsidRPr="003C0885" w:rsidRDefault="00821662" w:rsidP="00821662"/>
    <w:p w14:paraId="5ADF2729" w14:textId="0D30C5E2" w:rsidR="00821662" w:rsidRDefault="00821662" w:rsidP="00821662">
      <w:pPr>
        <w:pStyle w:val="ListParagraph"/>
        <w:numPr>
          <w:ilvl w:val="0"/>
          <w:numId w:val="4"/>
        </w:numPr>
      </w:pPr>
      <w:r w:rsidRPr="003C0885">
        <w:t xml:space="preserve">Conversely, international human rights mechanisms should </w:t>
      </w:r>
      <w:r>
        <w:t xml:space="preserve">continue to </w:t>
      </w:r>
      <w:r w:rsidRPr="003C0885">
        <w:t>consider the reports of election</w:t>
      </w:r>
      <w:r w:rsidR="0035496C">
        <w:t xml:space="preserve"> observation</w:t>
      </w:r>
      <w:r w:rsidRPr="003C0885">
        <w:t xml:space="preserve"> organizations</w:t>
      </w:r>
      <w:r w:rsidR="00F10DB7">
        <w:t xml:space="preserve"> and </w:t>
      </w:r>
      <w:r w:rsidR="00126EDE">
        <w:t>civil society</w:t>
      </w:r>
      <w:r w:rsidRPr="003C0885">
        <w:t xml:space="preserve"> </w:t>
      </w:r>
      <w:r w:rsidR="00DB5660" w:rsidRPr="003C0885">
        <w:t>as part of their regular practice</w:t>
      </w:r>
      <w:r w:rsidR="00DB5660">
        <w:t xml:space="preserve"> </w:t>
      </w:r>
      <w:r w:rsidRPr="003C0885">
        <w:t>when drafting reports, comments and recommendations</w:t>
      </w:r>
      <w:r w:rsidR="00935251">
        <w:t xml:space="preserve"> with a view to issuing more election</w:t>
      </w:r>
      <w:r w:rsidR="00875B7F">
        <w:t>-</w:t>
      </w:r>
      <w:r w:rsidR="00935251">
        <w:t xml:space="preserve">related recommendations.  </w:t>
      </w:r>
      <w:r w:rsidR="0036639E">
        <w:t xml:space="preserve">This </w:t>
      </w:r>
      <w:r w:rsidR="005F5AE2">
        <w:t xml:space="preserve">may also </w:t>
      </w:r>
      <w:r w:rsidR="0036639E">
        <w:t>appl</w:t>
      </w:r>
      <w:r w:rsidR="005F5AE2">
        <w:t>y</w:t>
      </w:r>
      <w:r w:rsidR="0036639E">
        <w:t xml:space="preserve"> to </w:t>
      </w:r>
      <w:r w:rsidR="00875B7F">
        <w:t>n</w:t>
      </w:r>
      <w:r w:rsidR="00D67A23">
        <w:t xml:space="preserve">ational </w:t>
      </w:r>
      <w:r w:rsidR="00875B7F">
        <w:t>h</w:t>
      </w:r>
      <w:r w:rsidR="00D67A23">
        <w:t xml:space="preserve">uman </w:t>
      </w:r>
      <w:r w:rsidR="00875B7F">
        <w:t>r</w:t>
      </w:r>
      <w:r w:rsidR="00D67A23">
        <w:t xml:space="preserve">ights </w:t>
      </w:r>
      <w:r w:rsidR="00875B7F">
        <w:t>i</w:t>
      </w:r>
      <w:r w:rsidR="00221351">
        <w:t>nstitutions</w:t>
      </w:r>
      <w:r w:rsidR="0036639E">
        <w:t>.</w:t>
      </w:r>
    </w:p>
    <w:p w14:paraId="3DEE3845" w14:textId="77777777" w:rsidR="00821662" w:rsidRDefault="00821662" w:rsidP="00821662"/>
    <w:p w14:paraId="5237B3AF" w14:textId="23243250" w:rsidR="00821662" w:rsidRPr="003C0885" w:rsidRDefault="00821662" w:rsidP="00821662">
      <w:pPr>
        <w:pStyle w:val="ListParagraph"/>
        <w:numPr>
          <w:ilvl w:val="0"/>
          <w:numId w:val="4"/>
        </w:numPr>
      </w:pPr>
      <w:r w:rsidRPr="003C0885">
        <w:t xml:space="preserve">Representatives of </w:t>
      </w:r>
      <w:r w:rsidR="00776779">
        <w:t xml:space="preserve">the </w:t>
      </w:r>
      <w:r w:rsidRPr="003C0885">
        <w:t xml:space="preserve">election </w:t>
      </w:r>
      <w:r w:rsidR="00776779">
        <w:t>community</w:t>
      </w:r>
      <w:r w:rsidRPr="003C0885">
        <w:t xml:space="preserve"> and human rights mechanisms should continue to advocate for </w:t>
      </w:r>
      <w:r w:rsidR="00875B7F">
        <w:t>s</w:t>
      </w:r>
      <w:r w:rsidR="00973AEE">
        <w:t>tates to consider ratifying</w:t>
      </w:r>
      <w:r w:rsidRPr="003C0885">
        <w:t xml:space="preserve"> the International Covenant on Civil and Political Rights,</w:t>
      </w:r>
      <w:r w:rsidR="00F10DB7">
        <w:t xml:space="preserve"> the</w:t>
      </w:r>
      <w:r w:rsidRPr="003C0885">
        <w:t xml:space="preserve"> </w:t>
      </w:r>
      <w:r w:rsidR="00F10DB7">
        <w:t xml:space="preserve">International Covenant on Economic, Social and Cultural Rights, </w:t>
      </w:r>
      <w:r w:rsidRPr="003C0885">
        <w:t xml:space="preserve">the Convention on the Elimination of all forms </w:t>
      </w:r>
      <w:r>
        <w:t>of Discrimination Against Women</w:t>
      </w:r>
      <w:r w:rsidRPr="003C0885">
        <w:t>, the Convention on the Rights of Persons with Disabilities</w:t>
      </w:r>
      <w:r w:rsidR="00875B7F">
        <w:t>,</w:t>
      </w:r>
      <w:r w:rsidRPr="003C0885">
        <w:t xml:space="preserve"> and other treaties that advance participatory rights, as well as regional instruments on democracy and elections.</w:t>
      </w:r>
    </w:p>
    <w:p w14:paraId="3DF51AA3" w14:textId="77777777" w:rsidR="00821662" w:rsidRPr="003C0885" w:rsidRDefault="00821662" w:rsidP="00821662"/>
    <w:p w14:paraId="7F0BC5CA" w14:textId="1ED722F6" w:rsidR="00821662" w:rsidRPr="003C0885" w:rsidRDefault="001834CE" w:rsidP="00821662">
      <w:pPr>
        <w:pStyle w:val="Heading2"/>
      </w:pPr>
      <w:r>
        <w:t>Identif</w:t>
      </w:r>
      <w:r w:rsidR="005F5AE2">
        <w:t xml:space="preserve">y and address </w:t>
      </w:r>
      <w:r>
        <w:t>gaps</w:t>
      </w:r>
      <w:r w:rsidR="0067728B">
        <w:t xml:space="preserve"> in international law</w:t>
      </w:r>
      <w:r w:rsidR="00875B7F">
        <w:t>.</w:t>
      </w:r>
      <w:r>
        <w:t xml:space="preserve"> </w:t>
      </w:r>
    </w:p>
    <w:p w14:paraId="01AFC9C7" w14:textId="77777777" w:rsidR="00821662" w:rsidRPr="003C0885" w:rsidRDefault="00821662" w:rsidP="00821662"/>
    <w:p w14:paraId="4FDC8047" w14:textId="0D4DA54E" w:rsidR="00821662" w:rsidRPr="003C0885" w:rsidRDefault="00821662" w:rsidP="00821662">
      <w:pPr>
        <w:pStyle w:val="ListParagraph"/>
        <w:numPr>
          <w:ilvl w:val="0"/>
          <w:numId w:val="4"/>
        </w:numPr>
      </w:pPr>
      <w:r w:rsidRPr="003C0885">
        <w:t xml:space="preserve">Recognizing that </w:t>
      </w:r>
      <w:r>
        <w:t xml:space="preserve">the </w:t>
      </w:r>
      <w:r w:rsidRPr="003C0885">
        <w:t>election</w:t>
      </w:r>
      <w:r w:rsidR="0067728B">
        <w:t xml:space="preserve"> </w:t>
      </w:r>
      <w:r>
        <w:t xml:space="preserve">and </w:t>
      </w:r>
      <w:r w:rsidRPr="003C0885">
        <w:t xml:space="preserve">human rights </w:t>
      </w:r>
      <w:r>
        <w:t>communities</w:t>
      </w:r>
      <w:r w:rsidRPr="003C0885">
        <w:t xml:space="preserve"> </w:t>
      </w:r>
      <w:r>
        <w:t xml:space="preserve">both </w:t>
      </w:r>
      <w:r w:rsidRPr="003C0885">
        <w:t>contribute to international understandings of genuine, democratic</w:t>
      </w:r>
      <w:r>
        <w:t xml:space="preserve"> </w:t>
      </w:r>
      <w:r w:rsidRPr="003C0885">
        <w:t>elections, election practitioners and human rights mechanisms should cooperate</w:t>
      </w:r>
      <w:r>
        <w:t xml:space="preserve">, within the limits of their mandates, </w:t>
      </w:r>
      <w:r w:rsidRPr="003C0885">
        <w:t>to</w:t>
      </w:r>
      <w:r w:rsidR="0067728B">
        <w:t xml:space="preserve"> identify</w:t>
      </w:r>
      <w:r w:rsidRPr="003C0885">
        <w:t xml:space="preserve"> and address gaps in the law.  This could be accomplished in many ways</w:t>
      </w:r>
      <w:r>
        <w:t>.  Suggestions raised during the consultative process included:</w:t>
      </w:r>
    </w:p>
    <w:p w14:paraId="59320B58" w14:textId="77777777" w:rsidR="00821662" w:rsidRPr="003C0885" w:rsidRDefault="00821662" w:rsidP="00821662"/>
    <w:p w14:paraId="6FEA20DB" w14:textId="3EAAFE48" w:rsidR="00821662" w:rsidRPr="003C0885" w:rsidRDefault="00600F58" w:rsidP="00821662">
      <w:pPr>
        <w:pStyle w:val="ListParagraph"/>
        <w:numPr>
          <w:ilvl w:val="0"/>
          <w:numId w:val="3"/>
        </w:numPr>
        <w:ind w:left="1080"/>
      </w:pPr>
      <w:r>
        <w:t xml:space="preserve">Drawing on relevant instruments, </w:t>
      </w:r>
      <w:r w:rsidR="00F107DF">
        <w:t>the election</w:t>
      </w:r>
      <w:r w:rsidR="00776779">
        <w:t xml:space="preserve">s </w:t>
      </w:r>
      <w:r w:rsidR="00F107DF">
        <w:t xml:space="preserve">and human rights </w:t>
      </w:r>
      <w:r w:rsidR="00776779">
        <w:t xml:space="preserve">communities </w:t>
      </w:r>
      <w:r w:rsidR="00F107DF">
        <w:t xml:space="preserve">could draft a joint declaration </w:t>
      </w:r>
      <w:r w:rsidR="001C1F99">
        <w:t xml:space="preserve">of </w:t>
      </w:r>
      <w:r w:rsidR="00821662" w:rsidRPr="003C0885">
        <w:t>common principles on elections and human rights</w:t>
      </w:r>
      <w:r w:rsidR="001C1F99">
        <w:t>.</w:t>
      </w:r>
    </w:p>
    <w:p w14:paraId="03FB755D" w14:textId="77777777" w:rsidR="00821662" w:rsidRPr="003C0885" w:rsidRDefault="00821662" w:rsidP="00821662">
      <w:pPr>
        <w:ind w:left="720"/>
      </w:pPr>
    </w:p>
    <w:p w14:paraId="60D21161" w14:textId="472EC104" w:rsidR="00821662" w:rsidRDefault="001C1F99" w:rsidP="00821662">
      <w:pPr>
        <w:pStyle w:val="ListParagraph"/>
        <w:numPr>
          <w:ilvl w:val="0"/>
          <w:numId w:val="3"/>
        </w:numPr>
        <w:ind w:left="1080"/>
      </w:pPr>
      <w:r>
        <w:t>A</w:t>
      </w:r>
      <w:r w:rsidR="00821662" w:rsidRPr="003C0885">
        <w:t xml:space="preserve">n </w:t>
      </w:r>
      <w:r w:rsidR="00F46E79">
        <w:t xml:space="preserve">informal, </w:t>
      </w:r>
      <w:r w:rsidR="00821662">
        <w:t xml:space="preserve">ad-hoc </w:t>
      </w:r>
      <w:r w:rsidR="00821662" w:rsidRPr="003C0885">
        <w:t xml:space="preserve">advisory group composed of election and human rights experts </w:t>
      </w:r>
      <w:r>
        <w:t xml:space="preserve">could be formed </w:t>
      </w:r>
      <w:r w:rsidR="00821662" w:rsidRPr="003C0885">
        <w:t xml:space="preserve">to address how </w:t>
      </w:r>
      <w:r w:rsidR="00821662">
        <w:t xml:space="preserve">international human rights law </w:t>
      </w:r>
      <w:r w:rsidR="00821662" w:rsidRPr="003C0885">
        <w:t>can be applied to specific electoral issues</w:t>
      </w:r>
      <w:r w:rsidR="0067728B">
        <w:t xml:space="preserve"> (e.g.</w:t>
      </w:r>
      <w:r>
        <w:t>,</w:t>
      </w:r>
      <w:r w:rsidR="0067728B">
        <w:t xml:space="preserve"> </w:t>
      </w:r>
      <w:r w:rsidR="00776779">
        <w:t>participatory rights for stateless people)</w:t>
      </w:r>
      <w:r>
        <w:t>.</w:t>
      </w:r>
    </w:p>
    <w:p w14:paraId="75F19099" w14:textId="77777777" w:rsidR="00821662" w:rsidRDefault="00821662" w:rsidP="00821662"/>
    <w:p w14:paraId="4A2A081B" w14:textId="736E8965" w:rsidR="00476A26" w:rsidRDefault="00964C58" w:rsidP="00B11BE8">
      <w:pPr>
        <w:pStyle w:val="ListParagraph"/>
        <w:numPr>
          <w:ilvl w:val="0"/>
          <w:numId w:val="3"/>
        </w:numPr>
        <w:ind w:left="1080"/>
      </w:pPr>
      <w:r>
        <w:t xml:space="preserve">States </w:t>
      </w:r>
      <w:r w:rsidR="001C1F99">
        <w:t xml:space="preserve">could </w:t>
      </w:r>
      <w:r w:rsidR="00476A26">
        <w:t xml:space="preserve">request </w:t>
      </w:r>
      <w:r w:rsidR="00821662" w:rsidRPr="003C0885">
        <w:t xml:space="preserve">a thematic report on genuine elections </w:t>
      </w:r>
      <w:r w:rsidR="00821662">
        <w:t>and human rights to be submitted to</w:t>
      </w:r>
      <w:r w:rsidR="00821662" w:rsidRPr="003C0885">
        <w:t xml:space="preserve"> the </w:t>
      </w:r>
      <w:r w:rsidR="00821662">
        <w:t>H</w:t>
      </w:r>
      <w:r w:rsidR="00821662" w:rsidRPr="003C0885">
        <w:t xml:space="preserve">uman </w:t>
      </w:r>
      <w:r w:rsidR="00821662">
        <w:t>R</w:t>
      </w:r>
      <w:r w:rsidR="00821662" w:rsidRPr="003C0885">
        <w:t xml:space="preserve">ights </w:t>
      </w:r>
      <w:r w:rsidR="00821662">
        <w:t>C</w:t>
      </w:r>
      <w:r w:rsidR="00821662" w:rsidRPr="003C0885">
        <w:t>ouncil</w:t>
      </w:r>
      <w:r w:rsidR="001C1F99">
        <w:t>.</w:t>
      </w:r>
    </w:p>
    <w:p w14:paraId="2E5A1D87" w14:textId="77777777" w:rsidR="00476A26" w:rsidRDefault="00476A26" w:rsidP="00B11BE8"/>
    <w:p w14:paraId="5CA89FC1" w14:textId="0F49D8C7" w:rsidR="00476A26" w:rsidRDefault="00476A26" w:rsidP="00B11BE8">
      <w:pPr>
        <w:pStyle w:val="ListParagraph"/>
        <w:numPr>
          <w:ilvl w:val="0"/>
          <w:numId w:val="3"/>
        </w:numPr>
        <w:ind w:left="1080"/>
      </w:pPr>
      <w:r>
        <w:t xml:space="preserve">Human rights NGOs </w:t>
      </w:r>
      <w:r w:rsidR="001C1F99">
        <w:t xml:space="preserve">could </w:t>
      </w:r>
      <w:r>
        <w:t>bring more</w:t>
      </w:r>
      <w:r w:rsidR="005F5AE2">
        <w:t xml:space="preserve"> election-related</w:t>
      </w:r>
      <w:r>
        <w:t xml:space="preserve"> individual complaints to treaty bodies to increase their jurisprudence on election-related questions</w:t>
      </w:r>
      <w:r w:rsidR="001C1F99">
        <w:t>.</w:t>
      </w:r>
      <w:r w:rsidR="00BD75F8">
        <w:t xml:space="preserve"> </w:t>
      </w:r>
      <w:r w:rsidR="001C1F99">
        <w:t>A</w:t>
      </w:r>
      <w:r w:rsidR="00BD75F8">
        <w:t>nd</w:t>
      </w:r>
      <w:r w:rsidR="001C1F99">
        <w:t>,</w:t>
      </w:r>
    </w:p>
    <w:p w14:paraId="2CA3D234" w14:textId="77777777" w:rsidR="00476A26" w:rsidRPr="003C0885" w:rsidRDefault="00476A26" w:rsidP="00B11BE8"/>
    <w:p w14:paraId="301656B4" w14:textId="791A85B9" w:rsidR="00964C58" w:rsidRDefault="001C1F99" w:rsidP="00821662">
      <w:pPr>
        <w:pStyle w:val="ListParagraph"/>
        <w:numPr>
          <w:ilvl w:val="0"/>
          <w:numId w:val="3"/>
        </w:numPr>
        <w:ind w:left="1080"/>
      </w:pPr>
      <w:r>
        <w:t>G</w:t>
      </w:r>
      <w:r w:rsidR="00964C58">
        <w:t xml:space="preserve">uidelines </w:t>
      </w:r>
      <w:r>
        <w:t xml:space="preserve">could be elaborated </w:t>
      </w:r>
      <w:r w:rsidR="00964C58">
        <w:t xml:space="preserve">on accessibility and reasonable </w:t>
      </w:r>
      <w:r w:rsidR="00DF7493">
        <w:t>accommodations</w:t>
      </w:r>
      <w:r w:rsidR="00964C58">
        <w:t xml:space="preserve"> for the full implementation of the right to vote for all in society.</w:t>
      </w:r>
    </w:p>
    <w:p w14:paraId="47704D88" w14:textId="77777777" w:rsidR="00F10DB7" w:rsidRDefault="00F10DB7" w:rsidP="00B11BE8"/>
    <w:p w14:paraId="1BAF5D64" w14:textId="7DCCF5E9" w:rsidR="00F10DB7" w:rsidRPr="003C0885" w:rsidRDefault="00F10DB7" w:rsidP="00F10DB7">
      <w:pPr>
        <w:pStyle w:val="ListParagraph"/>
        <w:numPr>
          <w:ilvl w:val="0"/>
          <w:numId w:val="4"/>
        </w:numPr>
      </w:pPr>
      <w:r w:rsidRPr="003C0885">
        <w:t xml:space="preserve">In the light of new developments and jurisprudence since the drafting of General Comment No. 25 of the Human Rights Committee, </w:t>
      </w:r>
      <w:r>
        <w:t xml:space="preserve">organizations and individuals supporting this </w:t>
      </w:r>
      <w:r w:rsidRPr="00560C7F">
        <w:t>Plan of Action</w:t>
      </w:r>
      <w:r w:rsidRPr="002B3349">
        <w:rPr>
          <w:i/>
        </w:rPr>
        <w:t xml:space="preserve"> </w:t>
      </w:r>
      <w:r w:rsidRPr="003C0885">
        <w:t xml:space="preserve">agree to support to the extent possible </w:t>
      </w:r>
      <w:r w:rsidR="001C1F99">
        <w:t xml:space="preserve">the committee’s </w:t>
      </w:r>
      <w:r w:rsidRPr="003C0885">
        <w:t xml:space="preserve">consideration of an update to the </w:t>
      </w:r>
      <w:r w:rsidR="001C1F99">
        <w:t>g</w:t>
      </w:r>
      <w:r w:rsidRPr="003C0885">
        <w:t xml:space="preserve">eneral </w:t>
      </w:r>
      <w:r w:rsidR="001C1F99">
        <w:t>c</w:t>
      </w:r>
      <w:r w:rsidRPr="003C0885">
        <w:t>omment</w:t>
      </w:r>
      <w:r w:rsidR="001C1F99">
        <w:t>.</w:t>
      </w:r>
      <w:r w:rsidRPr="003C0885">
        <w:t xml:space="preserve">  </w:t>
      </w:r>
    </w:p>
    <w:p w14:paraId="2AC7A0CB" w14:textId="77777777" w:rsidR="00F10DB7" w:rsidRPr="003C0885" w:rsidRDefault="00F10DB7" w:rsidP="00B11BE8"/>
    <w:p w14:paraId="24AF4880" w14:textId="77777777" w:rsidR="00821662" w:rsidRDefault="00821662" w:rsidP="00821662"/>
    <w:p w14:paraId="737D2C11" w14:textId="714A2FDF" w:rsidR="00821662" w:rsidRPr="003C0885" w:rsidRDefault="00821662" w:rsidP="00821662">
      <w:pPr>
        <w:pStyle w:val="Heading2"/>
      </w:pPr>
      <w:r>
        <w:t>E</w:t>
      </w:r>
      <w:r w:rsidRPr="003C0885">
        <w:t xml:space="preserve">xplore the need for new </w:t>
      </w:r>
      <w:r>
        <w:t xml:space="preserve">human rights </w:t>
      </w:r>
      <w:r w:rsidRPr="003C0885">
        <w:t>mechanisms as appropriate</w:t>
      </w:r>
      <w:r w:rsidR="001C1F99">
        <w:t>.</w:t>
      </w:r>
    </w:p>
    <w:p w14:paraId="241072A7" w14:textId="77777777" w:rsidR="00821662" w:rsidRPr="003C0885" w:rsidRDefault="00821662" w:rsidP="00821662"/>
    <w:p w14:paraId="260B287E" w14:textId="3B02F7FC" w:rsidR="00821662" w:rsidRPr="003C0885" w:rsidRDefault="00821662" w:rsidP="00821662">
      <w:pPr>
        <w:pStyle w:val="ListParagraph"/>
        <w:numPr>
          <w:ilvl w:val="0"/>
          <w:numId w:val="4"/>
        </w:numPr>
      </w:pPr>
      <w:r w:rsidRPr="003C0885">
        <w:t>Recognizing that several special</w:t>
      </w:r>
      <w:r w:rsidR="001C1F99">
        <w:t>-</w:t>
      </w:r>
      <w:r w:rsidRPr="003C0885">
        <w:t xml:space="preserve">procedure mandates are focused on rights and freedoms critical to genuine elections, </w:t>
      </w:r>
      <w:r>
        <w:t xml:space="preserve">but that no one single mandate focuses on the right to participate, </w:t>
      </w:r>
      <w:r w:rsidRPr="003C0885">
        <w:t>the potential of a thematic mandate on the right to participate in public affairs should continue to be explored. This specific mandate could address all aspects of the right to participate in public affairs</w:t>
      </w:r>
      <w:r>
        <w:t>.</w:t>
      </w:r>
    </w:p>
    <w:p w14:paraId="151D299E" w14:textId="77777777" w:rsidR="00821662" w:rsidRPr="003C0885" w:rsidRDefault="00821662" w:rsidP="00821662"/>
    <w:p w14:paraId="1AD23C96" w14:textId="5F0A365D" w:rsidR="00821662" w:rsidRPr="003C0885" w:rsidRDefault="00821662" w:rsidP="00821662">
      <w:pPr>
        <w:pStyle w:val="Heading2"/>
      </w:pPr>
      <w:r w:rsidRPr="003C0885">
        <w:t xml:space="preserve">Improve communication and collaboration between human rights mechanisms and </w:t>
      </w:r>
      <w:r w:rsidR="005543E3">
        <w:t xml:space="preserve">the </w:t>
      </w:r>
      <w:r w:rsidRPr="003C0885">
        <w:t>election</w:t>
      </w:r>
      <w:r w:rsidR="007214E2">
        <w:t xml:space="preserve"> </w:t>
      </w:r>
      <w:r w:rsidRPr="003C0885">
        <w:t>communit</w:t>
      </w:r>
      <w:r w:rsidR="007214E2">
        <w:t>y</w:t>
      </w:r>
      <w:r w:rsidR="001C1F99">
        <w:t>.</w:t>
      </w:r>
    </w:p>
    <w:p w14:paraId="0E6B0416" w14:textId="77777777" w:rsidR="00821662" w:rsidRPr="003C0885" w:rsidRDefault="00821662" w:rsidP="00821662"/>
    <w:p w14:paraId="3A887F4F" w14:textId="4FB7D169" w:rsidR="00821662" w:rsidRPr="003C0885" w:rsidRDefault="00821662" w:rsidP="00821662">
      <w:pPr>
        <w:pStyle w:val="ListParagraph"/>
        <w:numPr>
          <w:ilvl w:val="0"/>
          <w:numId w:val="4"/>
        </w:numPr>
      </w:pPr>
      <w:r w:rsidRPr="003C0885">
        <w:t>Continued collaboration and communication between election</w:t>
      </w:r>
      <w:r w:rsidR="002F7209">
        <w:t xml:space="preserve"> observation and</w:t>
      </w:r>
      <w:r w:rsidRPr="003C0885">
        <w:t xml:space="preserve"> assistance communities and human rights mechanisms can only progress through regular</w:t>
      </w:r>
      <w:r w:rsidR="00CA016F">
        <w:t xml:space="preserve"> and sustainable</w:t>
      </w:r>
      <w:r w:rsidRPr="003C0885">
        <w:t xml:space="preserve"> communication and information</w:t>
      </w:r>
      <w:r w:rsidR="001C1F99">
        <w:t>-</w:t>
      </w:r>
      <w:r w:rsidRPr="003C0885">
        <w:t>sharing.</w:t>
      </w:r>
      <w:r w:rsidR="00CA016F">
        <w:t xml:space="preserve"> </w:t>
      </w:r>
      <w:r w:rsidRPr="003C0885">
        <w:t xml:space="preserve">In addition to the actions outlined above, a number of practical steps </w:t>
      </w:r>
      <w:r>
        <w:t>were suggested</w:t>
      </w:r>
      <w:r w:rsidRPr="003C0885">
        <w:t xml:space="preserve"> to facilitate communication, </w:t>
      </w:r>
      <w:r w:rsidR="00CA016F">
        <w:t xml:space="preserve">both formal and informal, </w:t>
      </w:r>
      <w:r w:rsidRPr="003C0885">
        <w:t xml:space="preserve">including: </w:t>
      </w:r>
    </w:p>
    <w:p w14:paraId="2188BFD6" w14:textId="6F4FC3D6" w:rsidR="00821662" w:rsidRDefault="00821662" w:rsidP="00821662">
      <w:pPr>
        <w:pStyle w:val="ListParagraph"/>
        <w:numPr>
          <w:ilvl w:val="0"/>
          <w:numId w:val="7"/>
        </w:numPr>
      </w:pPr>
      <w:r w:rsidRPr="003C0885">
        <w:t xml:space="preserve">Inclusion of election practitioners, as appropriate, in regularly scheduled meetings of human rights mechanisms, such as the annual meeting of the special procedures, </w:t>
      </w:r>
      <w:r>
        <w:t xml:space="preserve">or briefings to the respective </w:t>
      </w:r>
      <w:r w:rsidR="001C1F99">
        <w:t>c</w:t>
      </w:r>
      <w:r>
        <w:t xml:space="preserve">ommittees or </w:t>
      </w:r>
      <w:r w:rsidR="001C1F99">
        <w:t>c</w:t>
      </w:r>
      <w:r w:rsidRPr="003C0885">
        <w:t>hairs of the treaty bodies;</w:t>
      </w:r>
    </w:p>
    <w:p w14:paraId="2C6B897C" w14:textId="77777777" w:rsidR="005F5AE2" w:rsidRPr="003C0885" w:rsidRDefault="005F5AE2" w:rsidP="00B75F11">
      <w:pPr>
        <w:pStyle w:val="ListParagraph"/>
        <w:numPr>
          <w:ilvl w:val="0"/>
          <w:numId w:val="0"/>
        </w:numPr>
        <w:ind w:left="1440"/>
      </w:pPr>
    </w:p>
    <w:p w14:paraId="163428D2" w14:textId="1004FDAF" w:rsidR="00821662" w:rsidRDefault="00821662" w:rsidP="00821662">
      <w:pPr>
        <w:pStyle w:val="ListParagraph"/>
        <w:numPr>
          <w:ilvl w:val="0"/>
          <w:numId w:val="7"/>
        </w:numPr>
      </w:pPr>
      <w:r w:rsidRPr="003C0885">
        <w:t>In</w:t>
      </w:r>
      <w:r>
        <w:t xml:space="preserve">vitation by the appropriate bodies to </w:t>
      </w:r>
      <w:r w:rsidRPr="003C0885">
        <w:t xml:space="preserve">representatives of regional and international human rights mechanisms </w:t>
      </w:r>
      <w:r w:rsidR="00173E5B">
        <w:t xml:space="preserve">to participate </w:t>
      </w:r>
      <w:r w:rsidRPr="003C0885">
        <w:t>in the regularly scheduled meetings of the election community, such as the meeting of endorsers of the Declaration of Principles for International Election Observation or the Global Elections Organization (GEO) conference;</w:t>
      </w:r>
    </w:p>
    <w:p w14:paraId="191FFD50" w14:textId="77777777" w:rsidR="002F7209" w:rsidRPr="003C0885" w:rsidRDefault="002F7209" w:rsidP="00B11BE8">
      <w:pPr>
        <w:pStyle w:val="ListParagraph"/>
        <w:numPr>
          <w:ilvl w:val="0"/>
          <w:numId w:val="0"/>
        </w:numPr>
        <w:ind w:left="1440"/>
      </w:pPr>
    </w:p>
    <w:p w14:paraId="07AA55DE" w14:textId="6218D71C" w:rsidR="005F5AE2" w:rsidRDefault="00821662">
      <w:pPr>
        <w:pStyle w:val="ListParagraph"/>
        <w:numPr>
          <w:ilvl w:val="0"/>
          <w:numId w:val="7"/>
        </w:numPr>
      </w:pPr>
      <w:r w:rsidRPr="003C0885">
        <w:t>Information sharing via email or a website on the schedule of upcoming election observation missions, country visits by special rapporteurs, treaty body follow</w:t>
      </w:r>
      <w:r w:rsidR="00173E5B">
        <w:t>-</w:t>
      </w:r>
      <w:r w:rsidRPr="003C0885">
        <w:t>up missions, and deadlines for the submission of reports to the UPR or treaty bodies;</w:t>
      </w:r>
    </w:p>
    <w:p w14:paraId="6B9D411F" w14:textId="77777777" w:rsidR="009B6010" w:rsidRDefault="009B6010" w:rsidP="00B75F11"/>
    <w:p w14:paraId="3DD6919E" w14:textId="6E013C70" w:rsidR="009B6010" w:rsidRDefault="009B6010">
      <w:pPr>
        <w:pStyle w:val="ListParagraph"/>
        <w:numPr>
          <w:ilvl w:val="0"/>
          <w:numId w:val="7"/>
        </w:numPr>
      </w:pPr>
      <w:r>
        <w:t>Guidance on human rights</w:t>
      </w:r>
      <w:r w:rsidR="00173E5B">
        <w:t>-</w:t>
      </w:r>
      <w:r>
        <w:t xml:space="preserve">based approaches to elections shared through existing </w:t>
      </w:r>
      <w:r w:rsidR="00390BFF">
        <w:t>tools and networks, such as the ACE Electoral Knowledge Network and the Building Resources in Democracy, Governance and Elections (BRIDGE) training program</w:t>
      </w:r>
      <w:r w:rsidR="00DC172E">
        <w:t>;</w:t>
      </w:r>
    </w:p>
    <w:p w14:paraId="3E132A5D" w14:textId="77777777" w:rsidR="00A401C3" w:rsidRDefault="00A401C3" w:rsidP="00B75F11"/>
    <w:p w14:paraId="5274C7F8" w14:textId="40788AC6" w:rsidR="00821662" w:rsidRDefault="00821662" w:rsidP="00821662">
      <w:pPr>
        <w:pStyle w:val="ListParagraph"/>
        <w:numPr>
          <w:ilvl w:val="0"/>
          <w:numId w:val="7"/>
        </w:numPr>
      </w:pPr>
      <w:r w:rsidRPr="003C0885">
        <w:t>Consult</w:t>
      </w:r>
      <w:r w:rsidR="00173E5B">
        <w:t>ation</w:t>
      </w:r>
      <w:r w:rsidRPr="003C0885">
        <w:t xml:space="preserve"> with one another in countries of focus</w:t>
      </w:r>
      <w:r>
        <w:t xml:space="preserve"> before,</w:t>
      </w:r>
      <w:r w:rsidRPr="003C0885">
        <w:t xml:space="preserve"> during</w:t>
      </w:r>
      <w:r>
        <w:t xml:space="preserve">, and after </w:t>
      </w:r>
      <w:r w:rsidRPr="003C0885">
        <w:t>the course of election observation missions or country visits.</w:t>
      </w:r>
      <w:r>
        <w:t xml:space="preserve"> This regular consultation should, as much as possible, be institutionalized to facilitate regular and consistent coordination</w:t>
      </w:r>
      <w:r w:rsidR="00CC2DD1">
        <w:t xml:space="preserve">; </w:t>
      </w:r>
    </w:p>
    <w:p w14:paraId="7C234778" w14:textId="77777777" w:rsidR="005F5AE2" w:rsidRDefault="005F5AE2" w:rsidP="00B75F11">
      <w:pPr>
        <w:pStyle w:val="ListParagraph"/>
        <w:numPr>
          <w:ilvl w:val="0"/>
          <w:numId w:val="0"/>
        </w:numPr>
        <w:ind w:left="1440"/>
      </w:pPr>
    </w:p>
    <w:p w14:paraId="0E29F64F" w14:textId="44FD4865" w:rsidR="00CC2DD1" w:rsidRDefault="00CC2DD1" w:rsidP="00CC2DD1">
      <w:pPr>
        <w:pStyle w:val="ListParagraph"/>
        <w:numPr>
          <w:ilvl w:val="0"/>
          <w:numId w:val="7"/>
        </w:numPr>
      </w:pPr>
      <w:r>
        <w:t>The deployment of human rights experts as part of international election observation missions</w:t>
      </w:r>
      <w:r w:rsidR="005F5AE2">
        <w:t>;</w:t>
      </w:r>
      <w:r w:rsidR="005F5AE2" w:rsidRPr="005F5AE2">
        <w:t xml:space="preserve"> </w:t>
      </w:r>
      <w:r w:rsidR="005F5AE2">
        <w:t>and</w:t>
      </w:r>
    </w:p>
    <w:p w14:paraId="0A4F206F" w14:textId="77777777" w:rsidR="005F5AE2" w:rsidRDefault="005F5AE2" w:rsidP="00B75F11">
      <w:pPr>
        <w:pStyle w:val="ListParagraph"/>
        <w:numPr>
          <w:ilvl w:val="0"/>
          <w:numId w:val="0"/>
        </w:numPr>
        <w:ind w:left="1440"/>
      </w:pPr>
    </w:p>
    <w:p w14:paraId="2357D8C2" w14:textId="5D67F0A6" w:rsidR="005F5AE2" w:rsidRPr="00B75F11" w:rsidRDefault="005F5AE2" w:rsidP="005F5AE2">
      <w:pPr>
        <w:pStyle w:val="ListParagraph"/>
        <w:numPr>
          <w:ilvl w:val="0"/>
          <w:numId w:val="7"/>
        </w:numPr>
      </w:pPr>
      <w:r w:rsidRPr="00B75F11">
        <w:t>Promot</w:t>
      </w:r>
      <w:r w:rsidR="00173E5B">
        <w:t xml:space="preserve">ion of </w:t>
      </w:r>
      <w:r w:rsidRPr="00B75F11">
        <w:t xml:space="preserve"> information sharing and common approaches to human rights and election standard</w:t>
      </w:r>
      <w:r w:rsidR="00BC3CEA">
        <w:t>s</w:t>
      </w:r>
      <w:r w:rsidRPr="00B75F11">
        <w:t xml:space="preserve"> issues between UN bodies and regional and subregional organizations.</w:t>
      </w:r>
    </w:p>
    <w:p w14:paraId="65284650" w14:textId="77777777" w:rsidR="00821662" w:rsidRPr="003C0885" w:rsidRDefault="00821662" w:rsidP="00821662"/>
    <w:p w14:paraId="551E675E" w14:textId="7B328B9A" w:rsidR="00821662" w:rsidRDefault="00821662" w:rsidP="00821662">
      <w:pPr>
        <w:pStyle w:val="ListParagraph"/>
        <w:numPr>
          <w:ilvl w:val="0"/>
          <w:numId w:val="4"/>
        </w:numPr>
      </w:pPr>
      <w:r w:rsidRPr="003C0885">
        <w:t xml:space="preserve">In addition, further workshops and conferences that </w:t>
      </w:r>
      <w:r>
        <w:t xml:space="preserve">regularly </w:t>
      </w:r>
      <w:r w:rsidRPr="003C0885">
        <w:t>convene the election</w:t>
      </w:r>
      <w:r w:rsidR="002F7209">
        <w:t xml:space="preserve"> observation and election assistance </w:t>
      </w:r>
      <w:r w:rsidRPr="003C0885">
        <w:t>and human rights communities to discuss specific issues</w:t>
      </w:r>
      <w:r>
        <w:t xml:space="preserve"> should be held</w:t>
      </w:r>
      <w:r w:rsidRPr="003C0885">
        <w:t xml:space="preserve">.  </w:t>
      </w:r>
    </w:p>
    <w:p w14:paraId="1CE35610" w14:textId="77777777" w:rsidR="00BC3CEA" w:rsidRDefault="00BC3CEA" w:rsidP="00B75F11">
      <w:pPr>
        <w:pStyle w:val="ListParagraph"/>
        <w:numPr>
          <w:ilvl w:val="0"/>
          <w:numId w:val="0"/>
        </w:numPr>
        <w:ind w:left="720"/>
      </w:pPr>
    </w:p>
    <w:p w14:paraId="11429284" w14:textId="065D582E" w:rsidR="00BC3CEA" w:rsidRPr="003C0885" w:rsidRDefault="00BC3CEA" w:rsidP="00821662">
      <w:pPr>
        <w:pStyle w:val="ListParagraph"/>
        <w:numPr>
          <w:ilvl w:val="0"/>
          <w:numId w:val="4"/>
        </w:numPr>
      </w:pPr>
      <w:r>
        <w:t xml:space="preserve">Both communities could strengthen links among agencies of the UN, other mandates and stakeholders for the promotion and implementation of this </w:t>
      </w:r>
      <w:r w:rsidRPr="00560C7F">
        <w:t>Plan of Action</w:t>
      </w:r>
      <w:r w:rsidRPr="00C6578D">
        <w:t>.</w:t>
      </w:r>
    </w:p>
    <w:p w14:paraId="0A70681A" w14:textId="77777777" w:rsidR="00821662" w:rsidRPr="003C0885" w:rsidRDefault="00821662" w:rsidP="00821662"/>
    <w:p w14:paraId="155676F4" w14:textId="405B4059" w:rsidR="00821662" w:rsidRPr="003C0885" w:rsidRDefault="00821662" w:rsidP="00821662">
      <w:pPr>
        <w:pStyle w:val="Heading2"/>
      </w:pPr>
      <w:r w:rsidRPr="003C0885">
        <w:t>Support the role of civil society and NHRIs in promoting electoral rights</w:t>
      </w:r>
      <w:r w:rsidR="00C6578D">
        <w:t>.</w:t>
      </w:r>
    </w:p>
    <w:p w14:paraId="311E2963" w14:textId="77777777" w:rsidR="00821662" w:rsidRPr="003C0885" w:rsidRDefault="00821662" w:rsidP="00821662"/>
    <w:p w14:paraId="6D267E06" w14:textId="3661C5C4" w:rsidR="00821662" w:rsidRPr="003C0885" w:rsidRDefault="00821662" w:rsidP="00821662">
      <w:pPr>
        <w:pStyle w:val="ListParagraph"/>
        <w:numPr>
          <w:ilvl w:val="0"/>
          <w:numId w:val="4"/>
        </w:numPr>
      </w:pPr>
      <w:r>
        <w:t>Genuine electoral processes</w:t>
      </w:r>
      <w:r w:rsidRPr="003C0885">
        <w:t xml:space="preserve"> are not an end in and of themselves, but are a critical means of promoting a more stable political environment in which human rights, including the right to</w:t>
      </w:r>
      <w:r w:rsidR="001379BF">
        <w:t xml:space="preserve"> participate in</w:t>
      </w:r>
      <w:r w:rsidRPr="003C0885">
        <w:t xml:space="preserve"> public </w:t>
      </w:r>
      <w:r w:rsidR="001379BF">
        <w:t>affairs</w:t>
      </w:r>
      <w:r w:rsidRPr="003C0885">
        <w:t xml:space="preserve">, can be enjoyed. Civil society plays an important role in monitoring human rights and elections processes and in advocating for change. </w:t>
      </w:r>
      <w:r w:rsidR="009B6358">
        <w:t>The i</w:t>
      </w:r>
      <w:r w:rsidRPr="003C0885">
        <w:t>nternational human rights and election</w:t>
      </w:r>
      <w:r w:rsidR="009B6358">
        <w:t xml:space="preserve">s communities </w:t>
      </w:r>
      <w:r w:rsidRPr="003C0885">
        <w:t>have a responsibility to support this work of civil society</w:t>
      </w:r>
      <w:r w:rsidR="002F7209">
        <w:t xml:space="preserve"> within the limit of their mandates</w:t>
      </w:r>
      <w:r w:rsidRPr="003C0885">
        <w:t xml:space="preserve"> and can do this by:</w:t>
      </w:r>
    </w:p>
    <w:p w14:paraId="78BD9BD2" w14:textId="131D7463" w:rsidR="00821662" w:rsidRPr="003C0885" w:rsidRDefault="00821662" w:rsidP="00821662">
      <w:pPr>
        <w:pStyle w:val="ListParagraph"/>
        <w:numPr>
          <w:ilvl w:val="0"/>
          <w:numId w:val="8"/>
        </w:numPr>
      </w:pPr>
      <w:r w:rsidRPr="003C0885">
        <w:lastRenderedPageBreak/>
        <w:t>Engaging with and hearing from organizations that work on a range of issues and topics, including</w:t>
      </w:r>
      <w:r w:rsidR="00F562E7">
        <w:t xml:space="preserve"> human rights and </w:t>
      </w:r>
      <w:r w:rsidRPr="003C0885">
        <w:t>those beyond election issues;</w:t>
      </w:r>
    </w:p>
    <w:p w14:paraId="1D0FBA02" w14:textId="77777777" w:rsidR="00821662" w:rsidRPr="003C0885" w:rsidRDefault="00821662" w:rsidP="00821662">
      <w:pPr>
        <w:pStyle w:val="ListParagraph"/>
        <w:numPr>
          <w:ilvl w:val="0"/>
          <w:numId w:val="8"/>
        </w:numPr>
      </w:pPr>
      <w:r w:rsidRPr="003C0885">
        <w:t>Lending support to the voice of national civil society organizations by referencing their findings;</w:t>
      </w:r>
    </w:p>
    <w:p w14:paraId="7F5F95CC" w14:textId="5FECC7A5" w:rsidR="00821662" w:rsidRPr="003C0885" w:rsidRDefault="00821662" w:rsidP="00821662">
      <w:pPr>
        <w:pStyle w:val="ListParagraph"/>
        <w:numPr>
          <w:ilvl w:val="0"/>
          <w:numId w:val="8"/>
        </w:numPr>
      </w:pPr>
      <w:r w:rsidRPr="003C0885">
        <w:t>Support</w:t>
      </w:r>
      <w:r w:rsidR="00C6578D">
        <w:t>ing</w:t>
      </w:r>
      <w:r w:rsidR="002F7209">
        <w:t xml:space="preserve"> collaboration and information sharing among </w:t>
      </w:r>
      <w:r w:rsidRPr="003C0885">
        <w:t>human rights and election organizations that can raise awareness of, and follow up on, elections</w:t>
      </w:r>
      <w:r w:rsidR="00C6578D">
        <w:t>-</w:t>
      </w:r>
      <w:r w:rsidRPr="003C0885">
        <w:t>related issues and recommendations;</w:t>
      </w:r>
    </w:p>
    <w:p w14:paraId="1102A05C" w14:textId="19B3DDCF" w:rsidR="00821662" w:rsidRPr="003C0885" w:rsidRDefault="00821662" w:rsidP="00821662">
      <w:pPr>
        <w:pStyle w:val="ListParagraph"/>
        <w:numPr>
          <w:ilvl w:val="0"/>
          <w:numId w:val="8"/>
        </w:numPr>
      </w:pPr>
      <w:r w:rsidRPr="003C0885">
        <w:t xml:space="preserve">Building the capacity of civil society to engage effectively with international human rights mechanisms through the submission of data-driven reports that reference international obligations for </w:t>
      </w:r>
      <w:r>
        <w:t xml:space="preserve">genuine </w:t>
      </w:r>
      <w:r w:rsidRPr="00FB0B5D">
        <w:t>democratic elections</w:t>
      </w:r>
      <w:r w:rsidRPr="000F1F07">
        <w:t>.</w:t>
      </w:r>
      <w:r w:rsidRPr="003C0885">
        <w:t xml:space="preserve"> </w:t>
      </w:r>
    </w:p>
    <w:p w14:paraId="2CCE969B" w14:textId="77777777" w:rsidR="00821662" w:rsidRPr="003C0885" w:rsidRDefault="00821662" w:rsidP="00821662"/>
    <w:p w14:paraId="0C748018" w14:textId="5A2C97B5" w:rsidR="00821662" w:rsidRPr="003C0885" w:rsidRDefault="00821662" w:rsidP="00821662">
      <w:pPr>
        <w:pStyle w:val="ListParagraph"/>
        <w:numPr>
          <w:ilvl w:val="0"/>
          <w:numId w:val="4"/>
        </w:numPr>
      </w:pPr>
      <w:r w:rsidRPr="003C0885">
        <w:t xml:space="preserve">International election </w:t>
      </w:r>
      <w:r w:rsidR="00F562E7">
        <w:t xml:space="preserve">observation </w:t>
      </w:r>
      <w:r w:rsidRPr="003C0885">
        <w:t>organizations may consider collaborating, as appropriate, with national civil society organizations on the submission of reports to international human rights mechanisms.</w:t>
      </w:r>
    </w:p>
    <w:p w14:paraId="6C62CCA4" w14:textId="77777777" w:rsidR="00821662" w:rsidRPr="003C0885" w:rsidRDefault="00821662" w:rsidP="00821662"/>
    <w:p w14:paraId="2551AB10" w14:textId="473AAE61" w:rsidR="00821662" w:rsidRPr="003C0885" w:rsidRDefault="006956E1" w:rsidP="00821662">
      <w:pPr>
        <w:pStyle w:val="ListParagraph"/>
        <w:numPr>
          <w:ilvl w:val="0"/>
          <w:numId w:val="4"/>
        </w:numPr>
      </w:pPr>
      <w:r>
        <w:t xml:space="preserve">Election </w:t>
      </w:r>
      <w:r w:rsidR="00221351">
        <w:t>practitioners</w:t>
      </w:r>
      <w:r>
        <w:t xml:space="preserve"> should give a</w:t>
      </w:r>
      <w:r w:rsidR="008D40D1">
        <w:t xml:space="preserve">dditional consideration </w:t>
      </w:r>
      <w:r w:rsidR="00821662" w:rsidRPr="003C0885">
        <w:t xml:space="preserve">to the potential role of </w:t>
      </w:r>
      <w:r w:rsidR="00C6578D">
        <w:t>n</w:t>
      </w:r>
      <w:r w:rsidR="00821662" w:rsidRPr="003C0885">
        <w:t xml:space="preserve">ational </w:t>
      </w:r>
      <w:r w:rsidR="00C6578D">
        <w:t>h</w:t>
      </w:r>
      <w:r w:rsidR="00821662" w:rsidRPr="003C0885">
        <w:t xml:space="preserve">uman </w:t>
      </w:r>
      <w:r w:rsidR="00C6578D">
        <w:t>r</w:t>
      </w:r>
      <w:r w:rsidR="00821662" w:rsidRPr="003C0885">
        <w:t xml:space="preserve">ights </w:t>
      </w:r>
      <w:r w:rsidR="00C6578D">
        <w:t>i</w:t>
      </w:r>
      <w:r w:rsidR="00821662" w:rsidRPr="003C0885">
        <w:t xml:space="preserve">nstitutions (NHRIs) in the promotion of environments conducive to human rights and </w:t>
      </w:r>
      <w:r w:rsidR="00D41C6B">
        <w:t xml:space="preserve">genuine </w:t>
      </w:r>
      <w:r w:rsidR="00821662" w:rsidRPr="003C0885">
        <w:t xml:space="preserve">elections, including ways in which </w:t>
      </w:r>
      <w:r>
        <w:t xml:space="preserve">they </w:t>
      </w:r>
      <w:r w:rsidR="00821662" w:rsidRPr="003C0885">
        <w:t xml:space="preserve">can </w:t>
      </w:r>
      <w:r w:rsidR="005F5AE2">
        <w:t>strengthen the capacity of</w:t>
      </w:r>
      <w:r w:rsidR="00821662" w:rsidRPr="003C0885">
        <w:t xml:space="preserve"> NHRIs on </w:t>
      </w:r>
      <w:r w:rsidR="005F5AE2">
        <w:t xml:space="preserve">election issues and </w:t>
      </w:r>
      <w:r w:rsidR="00821662" w:rsidRPr="003C0885">
        <w:t>follow</w:t>
      </w:r>
      <w:r w:rsidR="00C6578D">
        <w:t>-</w:t>
      </w:r>
      <w:r w:rsidR="00821662" w:rsidRPr="003C0885">
        <w:t>up to recommendations.</w:t>
      </w:r>
    </w:p>
    <w:p w14:paraId="491C457A" w14:textId="77777777" w:rsidR="00821662" w:rsidRPr="003C0885" w:rsidRDefault="00821662" w:rsidP="00821662"/>
    <w:p w14:paraId="5CA229CB" w14:textId="4F2E587C" w:rsidR="00821662" w:rsidRPr="003C0885" w:rsidRDefault="00821662" w:rsidP="00821662">
      <w:pPr>
        <w:pStyle w:val="Heading2"/>
      </w:pPr>
      <w:r w:rsidRPr="003C0885">
        <w:t>Develop better tools and training resources to facilitate effective collaboration</w:t>
      </w:r>
      <w:r w:rsidR="00C6578D">
        <w:t>.</w:t>
      </w:r>
    </w:p>
    <w:p w14:paraId="542A2DBB" w14:textId="77777777" w:rsidR="00821662" w:rsidRDefault="00821662" w:rsidP="00821662">
      <w:pPr>
        <w:pStyle w:val="ListParagraph"/>
        <w:numPr>
          <w:ilvl w:val="0"/>
          <w:numId w:val="0"/>
        </w:numPr>
        <w:ind w:left="720"/>
      </w:pPr>
    </w:p>
    <w:p w14:paraId="712948BB" w14:textId="5F2CD784" w:rsidR="00821662" w:rsidRPr="003C0885" w:rsidRDefault="00821662" w:rsidP="00821662">
      <w:pPr>
        <w:pStyle w:val="ListParagraph"/>
        <w:numPr>
          <w:ilvl w:val="0"/>
          <w:numId w:val="4"/>
        </w:numPr>
      </w:pPr>
      <w:r w:rsidRPr="003C0885">
        <w:t xml:space="preserve">The regional and international systems of human rights mechanisms can seem complex and difficult to navigate. In order to facilitate increased cooperation between the </w:t>
      </w:r>
      <w:r w:rsidR="008A74C2">
        <w:t xml:space="preserve">election observation </w:t>
      </w:r>
      <w:r w:rsidRPr="003C0885">
        <w:t>community and the regional and international human rights mechanisms</w:t>
      </w:r>
      <w:r w:rsidR="00C6578D">
        <w:t>,</w:t>
      </w:r>
      <w:r w:rsidRPr="003C0885">
        <w:t xml:space="preserve"> a series of practical training tools should be </w:t>
      </w:r>
      <w:r w:rsidR="0063000D">
        <w:t xml:space="preserve">refined or </w:t>
      </w:r>
      <w:r w:rsidRPr="003C0885">
        <w:t>developed. These tools could include clear guidance on how to access and engage with the different mechanisms and how to work constructively with</w:t>
      </w:r>
      <w:r w:rsidR="008A74C2">
        <w:t xml:space="preserve"> </w:t>
      </w:r>
      <w:r w:rsidR="00C6578D">
        <w:t>m</w:t>
      </w:r>
      <w:r w:rsidR="008A74C2">
        <w:t xml:space="preserve">inistries of </w:t>
      </w:r>
      <w:r w:rsidR="00C6578D">
        <w:t>f</w:t>
      </w:r>
      <w:r w:rsidR="008A74C2">
        <w:t xml:space="preserve">oreign </w:t>
      </w:r>
      <w:r w:rsidR="00C6578D">
        <w:t>a</w:t>
      </w:r>
      <w:r w:rsidR="008A74C2">
        <w:t xml:space="preserve">ffairs and Geneva missions. </w:t>
      </w:r>
      <w:r w:rsidRPr="003C0885">
        <w:t>They could also include templates for the submission of election</w:t>
      </w:r>
      <w:r w:rsidR="00C6578D">
        <w:t>-</w:t>
      </w:r>
      <w:r w:rsidRPr="003C0885">
        <w:t xml:space="preserve">focused reports and information to the special procedures, treaty bodies, and UPR processes.  </w:t>
      </w:r>
    </w:p>
    <w:p w14:paraId="57D81A0E" w14:textId="77777777" w:rsidR="00821662" w:rsidRPr="003C0885" w:rsidRDefault="00821662" w:rsidP="00821662"/>
    <w:p w14:paraId="186C6920" w14:textId="5654DECF" w:rsidR="00821662" w:rsidRPr="003C0885" w:rsidRDefault="00821662" w:rsidP="00821662">
      <w:pPr>
        <w:pStyle w:val="ListParagraph"/>
        <w:numPr>
          <w:ilvl w:val="0"/>
          <w:numId w:val="4"/>
        </w:numPr>
      </w:pPr>
      <w:r w:rsidRPr="003C0885">
        <w:t xml:space="preserve">The election community recognizes the contribution of organizations who coordinate civil society engagement with the </w:t>
      </w:r>
      <w:r>
        <w:t>United Nations</w:t>
      </w:r>
      <w:r w:rsidRPr="003C0885">
        <w:t xml:space="preserve"> human rights mechanisms. In engaging with the mechanisms directly or with civil society partners, election observ</w:t>
      </w:r>
      <w:r w:rsidR="00B75F11">
        <w:t xml:space="preserve">er groups </w:t>
      </w:r>
      <w:r w:rsidRPr="003C0885">
        <w:t>should consider continued</w:t>
      </w:r>
      <w:r w:rsidR="00B75F11">
        <w:t xml:space="preserve"> cooperation</w:t>
      </w:r>
      <w:r w:rsidRPr="003C0885">
        <w:t xml:space="preserve"> with these organizations, including through participation in pre-session consultations when possible and appropriate. </w:t>
      </w:r>
    </w:p>
    <w:p w14:paraId="1209A288" w14:textId="77777777" w:rsidR="00821662" w:rsidRPr="003C0885" w:rsidRDefault="00821662" w:rsidP="00821662"/>
    <w:p w14:paraId="16ACEDD6" w14:textId="5B64D827" w:rsidR="00821662" w:rsidRPr="003C0885" w:rsidRDefault="001E78F2" w:rsidP="00821662">
      <w:pPr>
        <w:pStyle w:val="Heading2"/>
      </w:pPr>
      <w:r>
        <w:t>Engage in e</w:t>
      </w:r>
      <w:r w:rsidR="008A74C2">
        <w:t xml:space="preserve">ducation and </w:t>
      </w:r>
      <w:r>
        <w:t>a</w:t>
      </w:r>
      <w:r w:rsidR="008A74C2">
        <w:t>wareness</w:t>
      </w:r>
      <w:r w:rsidR="00560C7F">
        <w:t xml:space="preserve"> </w:t>
      </w:r>
      <w:r>
        <w:t>r</w:t>
      </w:r>
      <w:r w:rsidR="008A74C2">
        <w:t>aising</w:t>
      </w:r>
      <w:r>
        <w:t>.</w:t>
      </w:r>
    </w:p>
    <w:p w14:paraId="032CE797" w14:textId="77777777" w:rsidR="00821662" w:rsidRPr="003C0885" w:rsidRDefault="00821662" w:rsidP="00821662"/>
    <w:p w14:paraId="6CBD2BD9" w14:textId="24F3504F" w:rsidR="00821662" w:rsidRDefault="00821662" w:rsidP="00821662">
      <w:pPr>
        <w:pStyle w:val="ListParagraph"/>
        <w:numPr>
          <w:ilvl w:val="0"/>
          <w:numId w:val="4"/>
        </w:numPr>
      </w:pPr>
      <w:r w:rsidRPr="003C0885">
        <w:t>In order to increase the impact of election</w:t>
      </w:r>
      <w:r w:rsidR="00C6578D">
        <w:t>-</w:t>
      </w:r>
      <w:r w:rsidRPr="003C0885">
        <w:t xml:space="preserve">related recommendations of the election </w:t>
      </w:r>
      <w:r w:rsidR="008A74C2">
        <w:t xml:space="preserve">observation </w:t>
      </w:r>
      <w:r w:rsidRPr="003C0885">
        <w:t xml:space="preserve">and human rights communities, both groups should consider means of raising public awareness of </w:t>
      </w:r>
      <w:r w:rsidR="00C6578D">
        <w:t xml:space="preserve">the function of </w:t>
      </w:r>
      <w:r w:rsidRPr="003C0885">
        <w:t xml:space="preserve">elections </w:t>
      </w:r>
      <w:r w:rsidR="00C6578D">
        <w:t xml:space="preserve">as </w:t>
      </w:r>
      <w:r w:rsidRPr="003C0885">
        <w:t>no</w:t>
      </w:r>
      <w:bookmarkStart w:id="1" w:name="_GoBack"/>
      <w:bookmarkEnd w:id="1"/>
      <w:r w:rsidRPr="003C0885">
        <w:t xml:space="preserve">t only a technical exercise and </w:t>
      </w:r>
      <w:r w:rsidRPr="003C0885">
        <w:lastRenderedPageBreak/>
        <w:t xml:space="preserve">a political contest, but also a human rights exercise. </w:t>
      </w:r>
      <w:r w:rsidR="002D5F46">
        <w:t xml:space="preserve">To do this, both communities should develop messaging that is easily understood by the general public.  </w:t>
      </w:r>
      <w:r w:rsidRPr="003C0885">
        <w:t>It would also be useful to sensitize the media on this issue</w:t>
      </w:r>
      <w:r w:rsidR="00E22DD4">
        <w:t>, and to include this in voter and civic education programs</w:t>
      </w:r>
      <w:r w:rsidRPr="003C0885">
        <w:t xml:space="preserve">. In addition, it would be beneficial for both communities to raise awareness </w:t>
      </w:r>
      <w:r>
        <w:t xml:space="preserve">among </w:t>
      </w:r>
      <w:r w:rsidR="001E78F2">
        <w:t>s</w:t>
      </w:r>
      <w:r w:rsidRPr="003C0885">
        <w:t xml:space="preserve">tates of </w:t>
      </w:r>
      <w:r>
        <w:t>the impact of elections on human</w:t>
      </w:r>
      <w:r w:rsidRPr="003C0885">
        <w:t xml:space="preserve"> rights through side events,</w:t>
      </w:r>
      <w:r>
        <w:t xml:space="preserve"> including</w:t>
      </w:r>
      <w:r w:rsidRPr="003C0885">
        <w:t xml:space="preserve"> at the Human Rights Council sessions.</w:t>
      </w:r>
      <w:r w:rsidR="002D5F46">
        <w:t xml:space="preserve"> </w:t>
      </w:r>
    </w:p>
    <w:p w14:paraId="3048132E" w14:textId="77777777" w:rsidR="00821662" w:rsidRPr="003C0885" w:rsidRDefault="00821662" w:rsidP="00821662"/>
    <w:p w14:paraId="5814931E" w14:textId="73266CF1" w:rsidR="00821662" w:rsidRDefault="00821662" w:rsidP="00821662">
      <w:pPr>
        <w:pStyle w:val="Heading2"/>
      </w:pPr>
      <w:r w:rsidRPr="003C0885">
        <w:t>Write and follow up on targeted recommendations</w:t>
      </w:r>
      <w:r w:rsidR="001E78F2">
        <w:t>.</w:t>
      </w:r>
    </w:p>
    <w:p w14:paraId="285CC3B6" w14:textId="77777777" w:rsidR="00821662" w:rsidRPr="000F1F07" w:rsidRDefault="00821662" w:rsidP="00821662"/>
    <w:p w14:paraId="09CCE07B" w14:textId="22AA6355" w:rsidR="00821662" w:rsidRPr="003C0885" w:rsidRDefault="00821662" w:rsidP="00821662">
      <w:pPr>
        <w:pStyle w:val="ListParagraph"/>
        <w:numPr>
          <w:ilvl w:val="0"/>
          <w:numId w:val="4"/>
        </w:numPr>
      </w:pPr>
      <w:r w:rsidRPr="003C0885">
        <w:t xml:space="preserve">Common to the work of both the human rights mechanisms and the election </w:t>
      </w:r>
      <w:r w:rsidR="00E22DD4">
        <w:t>observation community</w:t>
      </w:r>
      <w:r w:rsidRPr="003C0885">
        <w:t xml:space="preserve"> is the need for well-written, targeted recommendations, and more consistent follow-up on the implementation of recommendations once given.  Representatives of both communities recognize that greater cooperation between them has the potential to increase opportunities for recommendation implementation</w:t>
      </w:r>
      <w:r>
        <w:t>.</w:t>
      </w:r>
    </w:p>
    <w:p w14:paraId="13CC8D7A" w14:textId="77777777" w:rsidR="00821662" w:rsidRPr="003C0885" w:rsidRDefault="00821662" w:rsidP="00821662"/>
    <w:p w14:paraId="295C3D0A" w14:textId="1A6516D6" w:rsidR="00821662" w:rsidRPr="003C0885" w:rsidRDefault="00821662" w:rsidP="00821662">
      <w:pPr>
        <w:pStyle w:val="ListParagraph"/>
        <w:numPr>
          <w:ilvl w:val="0"/>
          <w:numId w:val="4"/>
        </w:numPr>
      </w:pPr>
      <w:r w:rsidRPr="003C0885">
        <w:t>In order to make recommendations useful, the election</w:t>
      </w:r>
      <w:r>
        <w:t xml:space="preserve"> </w:t>
      </w:r>
      <w:r w:rsidR="00E22DD4">
        <w:t>observation</w:t>
      </w:r>
      <w:r w:rsidRPr="003C0885">
        <w:t xml:space="preserve"> and human rights communities should consider drafting recommendations that are specific, measurable, attainable, relevant and time-bound</w:t>
      </w:r>
      <w:r w:rsidR="001A7B74">
        <w:t>, as</w:t>
      </w:r>
      <w:r w:rsidR="00E22DD4">
        <w:t xml:space="preserve"> appropriate, as well as sensitive to the country context.</w:t>
      </w:r>
      <w:r w:rsidRPr="003C0885">
        <w:t xml:space="preserve"> </w:t>
      </w:r>
    </w:p>
    <w:p w14:paraId="529E798E" w14:textId="77777777" w:rsidR="00821662" w:rsidRPr="003C0885" w:rsidRDefault="00821662" w:rsidP="00821662"/>
    <w:p w14:paraId="24AA1D05" w14:textId="6F3143E2" w:rsidR="00821662" w:rsidRPr="003C0885" w:rsidRDefault="00821662" w:rsidP="00821662">
      <w:pPr>
        <w:pStyle w:val="ListParagraph"/>
        <w:numPr>
          <w:ilvl w:val="0"/>
          <w:numId w:val="4"/>
        </w:numPr>
      </w:pPr>
      <w:r w:rsidRPr="003C0885">
        <w:t>The election</w:t>
      </w:r>
      <w:r w:rsidR="001D5380">
        <w:t xml:space="preserve"> observation and assistance </w:t>
      </w:r>
      <w:r w:rsidRPr="003C0885">
        <w:t xml:space="preserve">and human rights communities can work together </w:t>
      </w:r>
      <w:r>
        <w:t xml:space="preserve">throughout the election cycle </w:t>
      </w:r>
      <w:r w:rsidRPr="003C0885">
        <w:t xml:space="preserve">to </w:t>
      </w:r>
      <w:r>
        <w:t>offer</w:t>
      </w:r>
      <w:r w:rsidR="005E24C9">
        <w:t xml:space="preserve"> complementary and potentially</w:t>
      </w:r>
      <w:r>
        <w:t xml:space="preserve"> joint analysis of the electoral and human right</w:t>
      </w:r>
      <w:r w:rsidR="001E78F2">
        <w:t>s</w:t>
      </w:r>
      <w:r>
        <w:t xml:space="preserve"> environment and </w:t>
      </w:r>
      <w:r w:rsidRPr="003C0885">
        <w:t>monitor and follow up on the implementation of election</w:t>
      </w:r>
      <w:r w:rsidR="001E78F2">
        <w:t>-</w:t>
      </w:r>
      <w:r w:rsidRPr="003C0885">
        <w:t>related recommendations. Examples of such cooperation could include:</w:t>
      </w:r>
    </w:p>
    <w:p w14:paraId="2D2819E4" w14:textId="10FF2B1D" w:rsidR="00821662" w:rsidRDefault="00821662" w:rsidP="00821662">
      <w:pPr>
        <w:pStyle w:val="ListParagraph"/>
        <w:numPr>
          <w:ilvl w:val="0"/>
          <w:numId w:val="6"/>
        </w:numPr>
      </w:pPr>
      <w:r w:rsidRPr="003C0885">
        <w:t>Information</w:t>
      </w:r>
      <w:r w:rsidR="001E78F2">
        <w:t>-</w:t>
      </w:r>
      <w:r w:rsidRPr="003C0885">
        <w:t>sharing by election</w:t>
      </w:r>
      <w:r w:rsidR="006C24DD">
        <w:t xml:space="preserve"> observation </w:t>
      </w:r>
      <w:r w:rsidR="001D5380">
        <w:t xml:space="preserve">organizations </w:t>
      </w:r>
      <w:r w:rsidRPr="003C0885">
        <w:t>with special</w:t>
      </w:r>
      <w:r w:rsidR="001E78F2">
        <w:t>-</w:t>
      </w:r>
      <w:r w:rsidRPr="003C0885">
        <w:t>procedures mandates who can follow up on election observation recommendations during country visits or as part of their reporting responsibilities. Conversely, special</w:t>
      </w:r>
      <w:r w:rsidR="001E78F2">
        <w:t>-</w:t>
      </w:r>
      <w:r w:rsidRPr="003C0885">
        <w:t xml:space="preserve">procedures mandates could share key recommendations with election practitioners who could follow up on them in the course of their work; </w:t>
      </w:r>
    </w:p>
    <w:p w14:paraId="1E633301" w14:textId="77777777" w:rsidR="00A401C3" w:rsidRDefault="00A401C3" w:rsidP="00B75F11">
      <w:pPr>
        <w:pStyle w:val="ListParagraph"/>
        <w:numPr>
          <w:ilvl w:val="0"/>
          <w:numId w:val="0"/>
        </w:numPr>
        <w:ind w:left="1440"/>
      </w:pPr>
    </w:p>
    <w:p w14:paraId="29176593" w14:textId="2825A7DE" w:rsidR="00821662" w:rsidRDefault="00821662" w:rsidP="00821662">
      <w:pPr>
        <w:pStyle w:val="ListParagraph"/>
        <w:numPr>
          <w:ilvl w:val="0"/>
          <w:numId w:val="6"/>
        </w:numPr>
      </w:pPr>
      <w:r w:rsidRPr="003C0885">
        <w:t>Coordination between election observation organizations and other human rights mechanisms with treaty monitoring bodies in the course of their follow-up activities to help promote implementation of recommendations, or suggest</w:t>
      </w:r>
      <w:r w:rsidR="001E78F2">
        <w:t>ing</w:t>
      </w:r>
      <w:r w:rsidRPr="003C0885">
        <w:t xml:space="preserve"> special reports on key issues of focus by the treaty body; and </w:t>
      </w:r>
    </w:p>
    <w:p w14:paraId="686DDB15" w14:textId="77777777" w:rsidR="00A401C3" w:rsidRPr="003C0885" w:rsidRDefault="00A401C3" w:rsidP="00B75F11"/>
    <w:p w14:paraId="01A08129" w14:textId="14015890" w:rsidR="00821662" w:rsidRDefault="00821662" w:rsidP="00821662">
      <w:pPr>
        <w:pStyle w:val="ListParagraph"/>
        <w:numPr>
          <w:ilvl w:val="0"/>
          <w:numId w:val="6"/>
        </w:numPr>
      </w:pPr>
      <w:r w:rsidRPr="003C0885">
        <w:t xml:space="preserve">As appropriate, </w:t>
      </w:r>
      <w:r w:rsidR="00205A42">
        <w:t xml:space="preserve">coordinating with </w:t>
      </w:r>
      <w:r w:rsidR="00D04E01">
        <w:t xml:space="preserve">and </w:t>
      </w:r>
      <w:r w:rsidRPr="003C0885">
        <w:t xml:space="preserve">providing support to </w:t>
      </w:r>
      <w:r w:rsidR="00D04E01">
        <w:t xml:space="preserve">national stakeholders on </w:t>
      </w:r>
      <w:r w:rsidRPr="003C0885">
        <w:t xml:space="preserve">recommendation implementation and follow-up exercises.  </w:t>
      </w:r>
    </w:p>
    <w:p w14:paraId="0587C3AF" w14:textId="77777777" w:rsidR="00821662" w:rsidRDefault="00821662" w:rsidP="00821662"/>
    <w:p w14:paraId="6A5C2F29" w14:textId="77777777" w:rsidR="002B3349" w:rsidRDefault="002B3349">
      <w:pPr>
        <w:spacing w:after="160" w:line="259" w:lineRule="auto"/>
        <w:rPr>
          <w:rFonts w:asciiTheme="majorHAnsi" w:eastAsiaTheme="majorEastAsia" w:hAnsiTheme="majorHAnsi" w:cstheme="majorBidi"/>
          <w:color w:val="2F5496" w:themeColor="accent1" w:themeShade="BF"/>
          <w:sz w:val="32"/>
          <w:szCs w:val="32"/>
        </w:rPr>
      </w:pPr>
      <w:r>
        <w:br w:type="page"/>
      </w:r>
    </w:p>
    <w:p w14:paraId="446AD67C" w14:textId="3B13316E" w:rsidR="00821662" w:rsidRPr="003C0885" w:rsidRDefault="00821662" w:rsidP="00821662">
      <w:pPr>
        <w:pStyle w:val="Heading1"/>
      </w:pPr>
      <w:r w:rsidRPr="003C0885">
        <w:lastRenderedPageBreak/>
        <w:t>Human Rights and Election Standards Initiative</w:t>
      </w:r>
    </w:p>
    <w:p w14:paraId="51B32414" w14:textId="77777777" w:rsidR="00821662" w:rsidRPr="003C0885" w:rsidRDefault="00821662" w:rsidP="00821662">
      <w:pPr>
        <w:ind w:firstLine="60"/>
      </w:pPr>
    </w:p>
    <w:p w14:paraId="607BE35D" w14:textId="1977C225" w:rsidR="00821662" w:rsidRPr="003C0885" w:rsidRDefault="00821662" w:rsidP="00821662">
      <w:pPr>
        <w:pStyle w:val="ListParagraph"/>
        <w:numPr>
          <w:ilvl w:val="0"/>
          <w:numId w:val="4"/>
        </w:numPr>
      </w:pPr>
      <w:r w:rsidRPr="003C0885">
        <w:t xml:space="preserve">The Human Rights and Election Standards initiative </w:t>
      </w:r>
      <w:r w:rsidR="00414932">
        <w:t xml:space="preserve">began with </w:t>
      </w:r>
      <w:r w:rsidRPr="003C0885">
        <w:t>a conference held in Atlanta in February 2015. Envisioned as the first in a series of meetings and workshops, the launch conference was attended by leading election</w:t>
      </w:r>
      <w:r w:rsidR="009F3D2F">
        <w:t xml:space="preserve"> </w:t>
      </w:r>
      <w:r w:rsidRPr="003C0885">
        <w:t xml:space="preserve">practitioners and experts and representatives of the human rights mechanisms at the United Nations, </w:t>
      </w:r>
      <w:r w:rsidR="009F3D2F">
        <w:t>regional</w:t>
      </w:r>
      <w:r w:rsidR="00414932">
        <w:t>,</w:t>
      </w:r>
      <w:r w:rsidRPr="003C0885">
        <w:t xml:space="preserve"> and other intergovernmental organizations.</w:t>
      </w:r>
    </w:p>
    <w:p w14:paraId="0BCE474C" w14:textId="77777777" w:rsidR="00821662" w:rsidRPr="003C0885" w:rsidRDefault="00821662" w:rsidP="00821662"/>
    <w:p w14:paraId="0391E04A" w14:textId="3D9AA50D" w:rsidR="00821662" w:rsidRPr="003C0885" w:rsidRDefault="00821662" w:rsidP="00821662">
      <w:pPr>
        <w:pStyle w:val="ListParagraph"/>
        <w:numPr>
          <w:ilvl w:val="0"/>
          <w:numId w:val="4"/>
        </w:numPr>
      </w:pPr>
      <w:r w:rsidRPr="003C0885">
        <w:t xml:space="preserve">Following the 2015 launch, the first of three focused workshops was held in January 2016 in Atlanta. The workshop was attended by a number of thematic and geographic mandate </w:t>
      </w:r>
      <w:r w:rsidR="00414932">
        <w:t>s</w:t>
      </w:r>
      <w:r w:rsidRPr="003C0885">
        <w:t xml:space="preserve">pecial </w:t>
      </w:r>
      <w:r w:rsidR="00414932">
        <w:t>r</w:t>
      </w:r>
      <w:r w:rsidRPr="003C0885">
        <w:t xml:space="preserve">apporteurs as well as </w:t>
      </w:r>
      <w:r w:rsidR="00221351">
        <w:t xml:space="preserve">election practitioners. </w:t>
      </w:r>
      <w:r w:rsidRPr="003C0885">
        <w:t xml:space="preserve">Workshop participants considered the opportunities and challenges of increasing collaboration between special rapporteurs and the election community, </w:t>
      </w:r>
      <w:r w:rsidR="00414932">
        <w:t xml:space="preserve">as well as </w:t>
      </w:r>
      <w:r w:rsidRPr="003C0885">
        <w:t>practical suggestions for continued collaboration.</w:t>
      </w:r>
    </w:p>
    <w:p w14:paraId="0E563AC5" w14:textId="77777777" w:rsidR="00821662" w:rsidRPr="003C0885" w:rsidRDefault="00821662" w:rsidP="00821662"/>
    <w:p w14:paraId="1D1960C6" w14:textId="0B787DA1" w:rsidR="00821662" w:rsidRPr="003C0885" w:rsidRDefault="00821662" w:rsidP="00821662">
      <w:pPr>
        <w:pStyle w:val="ListParagraph"/>
        <w:numPr>
          <w:ilvl w:val="0"/>
          <w:numId w:val="4"/>
        </w:numPr>
      </w:pPr>
      <w:r w:rsidRPr="003C0885">
        <w:t>The second workshop was held in June 2016 in Geneva</w:t>
      </w:r>
      <w:r>
        <w:t xml:space="preserve"> and </w:t>
      </w:r>
      <w:r w:rsidRPr="003C0885">
        <w:t xml:space="preserve">brought together members of key treaty monitoring bodies </w:t>
      </w:r>
      <w:r>
        <w:t xml:space="preserve">and members of the election community. </w:t>
      </w:r>
      <w:r w:rsidRPr="003C0885">
        <w:t xml:space="preserve">Workshop participants examined the opportunities and challenges of increasing collaboration between treaty monitoring bodies and </w:t>
      </w:r>
      <w:r w:rsidR="00414932">
        <w:t xml:space="preserve">the </w:t>
      </w:r>
      <w:r w:rsidRPr="003C0885">
        <w:t>election community, and practical suggestions for continued</w:t>
      </w:r>
      <w:r>
        <w:t xml:space="preserve"> </w:t>
      </w:r>
      <w:r w:rsidRPr="003C0885">
        <w:t>collaboration.</w:t>
      </w:r>
    </w:p>
    <w:p w14:paraId="71A25129" w14:textId="77777777" w:rsidR="00821662" w:rsidRPr="003C0885" w:rsidRDefault="00821662" w:rsidP="00821662"/>
    <w:p w14:paraId="7B108BCD" w14:textId="47D325CD" w:rsidR="00821662" w:rsidRPr="003C0885" w:rsidRDefault="00821662" w:rsidP="00821662">
      <w:pPr>
        <w:pStyle w:val="ListParagraph"/>
        <w:numPr>
          <w:ilvl w:val="0"/>
          <w:numId w:val="4"/>
        </w:numPr>
      </w:pPr>
      <w:r w:rsidRPr="003C0885">
        <w:t xml:space="preserve">The third workshop was held in February 2017 in Geneva and brought together election </w:t>
      </w:r>
      <w:r w:rsidR="009F3D2F">
        <w:t>observation and assistance practitioners</w:t>
      </w:r>
      <w:r w:rsidR="009F3D2F" w:rsidRPr="003C0885">
        <w:t xml:space="preserve"> </w:t>
      </w:r>
      <w:r w:rsidRPr="003C0885">
        <w:t xml:space="preserve">and representatives of </w:t>
      </w:r>
      <w:r w:rsidR="00414932">
        <w:t>s</w:t>
      </w:r>
      <w:r w:rsidRPr="003C0885">
        <w:t>tates that have participated in the Universal Periodic Review process and have given or received recommendations on elections. During the workshop, participants discussed the use of the UPR to encourage democratic processes, and how election practitioners can more effectively engage with the UPR process.</w:t>
      </w:r>
    </w:p>
    <w:p w14:paraId="44D025B1" w14:textId="77777777" w:rsidR="00821662" w:rsidRPr="003C0885" w:rsidRDefault="00821662" w:rsidP="00821662"/>
    <w:p w14:paraId="0042D8A3" w14:textId="55C88DAE" w:rsidR="00821662" w:rsidRPr="003C0885" w:rsidRDefault="00821662" w:rsidP="00821662">
      <w:pPr>
        <w:pStyle w:val="ListParagraph"/>
        <w:numPr>
          <w:ilvl w:val="0"/>
          <w:numId w:val="4"/>
        </w:numPr>
      </w:pPr>
      <w:r w:rsidRPr="003C0885">
        <w:t xml:space="preserve">The fourth and final meeting was held </w:t>
      </w:r>
      <w:r w:rsidR="00414932">
        <w:t xml:space="preserve">in December 2017 </w:t>
      </w:r>
      <w:r w:rsidRPr="003C0885">
        <w:t>at The Carter Center in Atlanta</w:t>
      </w:r>
      <w:r w:rsidR="00414932">
        <w:t>.</w:t>
      </w:r>
      <w:r w:rsidRPr="003C0885">
        <w:t xml:space="preserve"> </w:t>
      </w:r>
      <w:r>
        <w:t xml:space="preserve">During this meeting, the draft </w:t>
      </w:r>
      <w:r w:rsidRPr="00560C7F">
        <w:t>Human Rights and Election Standards Plan of Action</w:t>
      </w:r>
      <w:r>
        <w:t xml:space="preserve"> was discussed, reviewed</w:t>
      </w:r>
      <w:r w:rsidR="00414932">
        <w:t>,</w:t>
      </w:r>
      <w:r>
        <w:t xml:space="preserve"> and finalized.  </w:t>
      </w:r>
      <w:r w:rsidR="009F3D2F">
        <w:t xml:space="preserve">The </w:t>
      </w:r>
      <w:r w:rsidR="009F3D2F" w:rsidRPr="00560C7F">
        <w:t>Plan of Action</w:t>
      </w:r>
      <w:r w:rsidR="009F3D2F">
        <w:t xml:space="preserve"> will be disseminated widely in multiple languages and in an accessible format.</w:t>
      </w:r>
    </w:p>
    <w:p w14:paraId="655AD3F7" w14:textId="77777777" w:rsidR="00821662" w:rsidRDefault="00821662" w:rsidP="00821662"/>
    <w:p w14:paraId="740790FB" w14:textId="77777777" w:rsidR="00821662" w:rsidRDefault="00821662" w:rsidP="00821662">
      <w:r>
        <w:br w:type="page"/>
      </w:r>
      <w:r>
        <w:lastRenderedPageBreak/>
        <w:t>Appendix A</w:t>
      </w:r>
    </w:p>
    <w:p w14:paraId="6151EB23" w14:textId="77777777" w:rsidR="00821662" w:rsidRDefault="00821662" w:rsidP="00821662"/>
    <w:p w14:paraId="1EB68498" w14:textId="77777777" w:rsidR="00821662" w:rsidRDefault="00821662" w:rsidP="00821662">
      <w:r>
        <w:t xml:space="preserve">The Carter Center and the Office of the United Nations High Commissioner for Human Rights are grateful for the contributions made to this </w:t>
      </w:r>
      <w:r w:rsidRPr="00560C7F">
        <w:t>Plan of Action</w:t>
      </w:r>
      <w:r>
        <w:t xml:space="preserve"> by the following individuals and organizations:</w:t>
      </w:r>
    </w:p>
    <w:p w14:paraId="5B097DC1" w14:textId="77777777" w:rsidR="00821662" w:rsidRDefault="00821662" w:rsidP="00821662"/>
    <w:p w14:paraId="162A3A58" w14:textId="77777777" w:rsidR="00821662" w:rsidRDefault="00821662" w:rsidP="00821662">
      <w:pPr>
        <w:pStyle w:val="ListParagraph"/>
        <w:numPr>
          <w:ilvl w:val="0"/>
          <w:numId w:val="9"/>
        </w:numPr>
        <w:spacing w:after="160" w:line="312" w:lineRule="auto"/>
        <w:sectPr w:rsidR="00821662" w:rsidSect="00E4250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521A6543" w14:textId="77777777" w:rsidR="00821662" w:rsidRPr="00AD70EE" w:rsidRDefault="00821662" w:rsidP="00821662">
      <w:pPr>
        <w:pStyle w:val="ListParagraph"/>
        <w:numPr>
          <w:ilvl w:val="0"/>
          <w:numId w:val="9"/>
        </w:numPr>
        <w:spacing w:after="160" w:line="312" w:lineRule="auto"/>
        <w:rPr>
          <w:b/>
        </w:rPr>
      </w:pPr>
      <w:r w:rsidRPr="00AD70EE">
        <w:rPr>
          <w:b/>
        </w:rPr>
        <w:t>African Union Commission</w:t>
      </w:r>
    </w:p>
    <w:p w14:paraId="59AB8FDC" w14:textId="77777777" w:rsidR="00821662" w:rsidRDefault="00821662" w:rsidP="00821662">
      <w:pPr>
        <w:pStyle w:val="ListParagraph"/>
        <w:numPr>
          <w:ilvl w:val="1"/>
          <w:numId w:val="9"/>
        </w:numPr>
        <w:spacing w:after="160" w:line="312" w:lineRule="auto"/>
      </w:pPr>
      <w:r>
        <w:t>Idrissa Kamara</w:t>
      </w:r>
    </w:p>
    <w:p w14:paraId="25BAC091" w14:textId="77777777" w:rsidR="00821662" w:rsidRPr="00AD70EE" w:rsidRDefault="00821662" w:rsidP="00821662">
      <w:pPr>
        <w:pStyle w:val="ListParagraph"/>
        <w:numPr>
          <w:ilvl w:val="0"/>
          <w:numId w:val="9"/>
        </w:numPr>
        <w:spacing w:after="160" w:line="312" w:lineRule="auto"/>
        <w:rPr>
          <w:b/>
        </w:rPr>
      </w:pPr>
      <w:r w:rsidRPr="00AD70EE">
        <w:rPr>
          <w:b/>
        </w:rPr>
        <w:t>Asian Network for Free Elections (ANFREL)</w:t>
      </w:r>
    </w:p>
    <w:p w14:paraId="087A45C2" w14:textId="77777777" w:rsidR="00821662" w:rsidRPr="00DD0093" w:rsidRDefault="00821662" w:rsidP="00821662">
      <w:pPr>
        <w:pStyle w:val="ListParagraph"/>
        <w:numPr>
          <w:ilvl w:val="1"/>
          <w:numId w:val="9"/>
        </w:numPr>
        <w:spacing w:after="160" w:line="312" w:lineRule="auto"/>
      </w:pPr>
      <w:r>
        <w:t>Koul Panha</w:t>
      </w:r>
    </w:p>
    <w:p w14:paraId="55D2D71A" w14:textId="77777777" w:rsidR="00821662" w:rsidRPr="00AD70EE" w:rsidRDefault="00821662" w:rsidP="00821662">
      <w:pPr>
        <w:pStyle w:val="ListParagraph"/>
        <w:numPr>
          <w:ilvl w:val="0"/>
          <w:numId w:val="9"/>
        </w:numPr>
        <w:spacing w:after="160" w:line="312" w:lineRule="auto"/>
        <w:rPr>
          <w:b/>
        </w:rPr>
      </w:pPr>
      <w:r w:rsidRPr="00AD70EE">
        <w:rPr>
          <w:b/>
        </w:rPr>
        <w:t xml:space="preserve">Brookings Institution </w:t>
      </w:r>
    </w:p>
    <w:p w14:paraId="1492E00F" w14:textId="77777777" w:rsidR="00821662" w:rsidRPr="00DD0093" w:rsidRDefault="00821662" w:rsidP="00821662">
      <w:pPr>
        <w:pStyle w:val="ListParagraph"/>
        <w:numPr>
          <w:ilvl w:val="1"/>
          <w:numId w:val="9"/>
        </w:numPr>
        <w:spacing w:after="160" w:line="312" w:lineRule="auto"/>
      </w:pPr>
      <w:r>
        <w:t>Ashley Miller</w:t>
      </w:r>
    </w:p>
    <w:p w14:paraId="61AA4A3B" w14:textId="77777777" w:rsidR="00821662" w:rsidRPr="00AD70EE" w:rsidRDefault="00821662" w:rsidP="00821662">
      <w:pPr>
        <w:pStyle w:val="ListParagraph"/>
        <w:numPr>
          <w:ilvl w:val="0"/>
          <w:numId w:val="9"/>
        </w:numPr>
        <w:spacing w:after="160" w:line="312" w:lineRule="auto"/>
        <w:rPr>
          <w:b/>
        </w:rPr>
      </w:pPr>
      <w:r w:rsidRPr="00AD70EE">
        <w:rPr>
          <w:b/>
        </w:rPr>
        <w:t>The Carter Center</w:t>
      </w:r>
    </w:p>
    <w:p w14:paraId="5CEEAEC5" w14:textId="77777777" w:rsidR="00821662" w:rsidRDefault="00821662" w:rsidP="00821662">
      <w:pPr>
        <w:pStyle w:val="ListParagraph"/>
        <w:numPr>
          <w:ilvl w:val="1"/>
          <w:numId w:val="9"/>
        </w:numPr>
        <w:spacing w:after="160" w:line="312" w:lineRule="auto"/>
      </w:pPr>
      <w:r>
        <w:t>Chloe Bordewich</w:t>
      </w:r>
    </w:p>
    <w:p w14:paraId="4BB3A6A3" w14:textId="77777777" w:rsidR="00821662" w:rsidRDefault="00821662" w:rsidP="00821662">
      <w:pPr>
        <w:pStyle w:val="ListParagraph"/>
        <w:numPr>
          <w:ilvl w:val="1"/>
          <w:numId w:val="9"/>
        </w:numPr>
        <w:spacing w:after="160" w:line="312" w:lineRule="auto"/>
      </w:pPr>
      <w:r>
        <w:t>David Carroll</w:t>
      </w:r>
    </w:p>
    <w:p w14:paraId="460CAAB5" w14:textId="77777777" w:rsidR="00821662" w:rsidRDefault="00821662" w:rsidP="00821662">
      <w:pPr>
        <w:pStyle w:val="ListParagraph"/>
        <w:numPr>
          <w:ilvl w:val="1"/>
          <w:numId w:val="9"/>
        </w:numPr>
        <w:spacing w:after="160" w:line="312" w:lineRule="auto"/>
      </w:pPr>
      <w:r>
        <w:t>Avery Davis-Roberts</w:t>
      </w:r>
    </w:p>
    <w:p w14:paraId="6EFDC661" w14:textId="77777777" w:rsidR="00821662" w:rsidRDefault="00821662" w:rsidP="00821662">
      <w:pPr>
        <w:pStyle w:val="ListParagraph"/>
        <w:numPr>
          <w:ilvl w:val="1"/>
          <w:numId w:val="9"/>
        </w:numPr>
        <w:spacing w:after="160" w:line="312" w:lineRule="auto"/>
      </w:pPr>
      <w:r>
        <w:t>Obehi Okojie</w:t>
      </w:r>
    </w:p>
    <w:p w14:paraId="18B07545" w14:textId="77777777" w:rsidR="00821662" w:rsidRDefault="00821662" w:rsidP="00821662">
      <w:pPr>
        <w:pStyle w:val="ListParagraph"/>
        <w:numPr>
          <w:ilvl w:val="1"/>
          <w:numId w:val="9"/>
        </w:numPr>
        <w:spacing w:after="160" w:line="312" w:lineRule="auto"/>
      </w:pPr>
      <w:r>
        <w:t>Elizabeth Plachta</w:t>
      </w:r>
    </w:p>
    <w:p w14:paraId="448F9F9F" w14:textId="77777777" w:rsidR="00821662" w:rsidRDefault="00821662" w:rsidP="00821662">
      <w:pPr>
        <w:pStyle w:val="ListParagraph"/>
        <w:numPr>
          <w:ilvl w:val="1"/>
          <w:numId w:val="9"/>
        </w:numPr>
        <w:spacing w:after="160" w:line="312" w:lineRule="auto"/>
      </w:pPr>
      <w:r>
        <w:t>Jordan Ryan</w:t>
      </w:r>
    </w:p>
    <w:p w14:paraId="54EB8282" w14:textId="77777777" w:rsidR="00821662" w:rsidRDefault="00821662" w:rsidP="00821662">
      <w:pPr>
        <w:pStyle w:val="ListParagraph"/>
        <w:numPr>
          <w:ilvl w:val="1"/>
          <w:numId w:val="9"/>
        </w:numPr>
        <w:spacing w:after="160" w:line="312" w:lineRule="auto"/>
      </w:pPr>
      <w:r>
        <w:t>Karin Ryan</w:t>
      </w:r>
    </w:p>
    <w:p w14:paraId="69FA96B5" w14:textId="77777777" w:rsidR="00821662" w:rsidRDefault="00821662" w:rsidP="00821662">
      <w:pPr>
        <w:pStyle w:val="ListParagraph"/>
        <w:numPr>
          <w:ilvl w:val="1"/>
          <w:numId w:val="9"/>
        </w:numPr>
        <w:spacing w:after="160" w:line="312" w:lineRule="auto"/>
      </w:pPr>
      <w:r>
        <w:t>Tye Tavaras</w:t>
      </w:r>
    </w:p>
    <w:p w14:paraId="4D7483A8" w14:textId="77777777" w:rsidR="00821662" w:rsidRPr="00AD70EE" w:rsidRDefault="00821662" w:rsidP="00821662">
      <w:pPr>
        <w:pStyle w:val="ListParagraph"/>
        <w:numPr>
          <w:ilvl w:val="0"/>
          <w:numId w:val="9"/>
        </w:numPr>
        <w:spacing w:after="160" w:line="312" w:lineRule="auto"/>
        <w:rPr>
          <w:b/>
        </w:rPr>
      </w:pPr>
      <w:r w:rsidRPr="00AD70EE">
        <w:rPr>
          <w:b/>
        </w:rPr>
        <w:t xml:space="preserve">Centre for Civil and Political Rights </w:t>
      </w:r>
    </w:p>
    <w:p w14:paraId="09EB9F13" w14:textId="77777777" w:rsidR="00821662" w:rsidRDefault="00821662" w:rsidP="00821662">
      <w:pPr>
        <w:pStyle w:val="ListParagraph"/>
        <w:numPr>
          <w:ilvl w:val="1"/>
          <w:numId w:val="9"/>
        </w:numPr>
        <w:spacing w:after="160" w:line="312" w:lineRule="auto"/>
      </w:pPr>
      <w:r w:rsidRPr="00DD0093">
        <w:t>Patrick Mutzenb</w:t>
      </w:r>
      <w:r>
        <w:t>erg</w:t>
      </w:r>
    </w:p>
    <w:p w14:paraId="2F42439E" w14:textId="77777777" w:rsidR="00821662" w:rsidRPr="00AD70EE" w:rsidRDefault="00821662" w:rsidP="00821662">
      <w:pPr>
        <w:pStyle w:val="ListParagraph"/>
        <w:numPr>
          <w:ilvl w:val="0"/>
          <w:numId w:val="9"/>
        </w:numPr>
        <w:spacing w:after="160" w:line="312" w:lineRule="auto"/>
        <w:rPr>
          <w:b/>
        </w:rPr>
      </w:pPr>
      <w:r w:rsidRPr="00AD70EE">
        <w:rPr>
          <w:b/>
        </w:rPr>
        <w:t>Commonwealth Secretariat</w:t>
      </w:r>
    </w:p>
    <w:p w14:paraId="1C28C237" w14:textId="77777777" w:rsidR="00821662" w:rsidRDefault="00821662" w:rsidP="00821662">
      <w:pPr>
        <w:pStyle w:val="ListParagraph"/>
        <w:numPr>
          <w:ilvl w:val="1"/>
          <w:numId w:val="9"/>
        </w:numPr>
        <w:spacing w:after="160" w:line="312" w:lineRule="auto"/>
      </w:pPr>
      <w:r>
        <w:t>Martin Kasirye</w:t>
      </w:r>
    </w:p>
    <w:p w14:paraId="62AF8C33" w14:textId="77777777" w:rsidR="00821662" w:rsidRPr="00AD70EE" w:rsidRDefault="00821662" w:rsidP="00821662">
      <w:pPr>
        <w:pStyle w:val="ListParagraph"/>
        <w:numPr>
          <w:ilvl w:val="0"/>
          <w:numId w:val="9"/>
        </w:numPr>
        <w:spacing w:after="160" w:line="312" w:lineRule="auto"/>
        <w:rPr>
          <w:b/>
        </w:rPr>
      </w:pPr>
      <w:r w:rsidRPr="00AD70EE">
        <w:rPr>
          <w:b/>
        </w:rPr>
        <w:t>Democracy Reporting International</w:t>
      </w:r>
    </w:p>
    <w:p w14:paraId="03A260AA" w14:textId="6EB37D78" w:rsidR="00821662" w:rsidRDefault="00821662" w:rsidP="00821662">
      <w:pPr>
        <w:pStyle w:val="ListParagraph"/>
        <w:numPr>
          <w:ilvl w:val="1"/>
          <w:numId w:val="9"/>
        </w:numPr>
        <w:spacing w:after="160" w:line="312" w:lineRule="auto"/>
      </w:pPr>
      <w:r>
        <w:t xml:space="preserve">Hassan </w:t>
      </w:r>
      <w:r w:rsidR="002D5F46">
        <w:t xml:space="preserve">Nasir </w:t>
      </w:r>
      <w:r>
        <w:t>Mirbahar</w:t>
      </w:r>
    </w:p>
    <w:p w14:paraId="07630EF6" w14:textId="77777777" w:rsidR="00821662" w:rsidRDefault="00821662" w:rsidP="00821662">
      <w:pPr>
        <w:pStyle w:val="ListParagraph"/>
        <w:numPr>
          <w:ilvl w:val="0"/>
          <w:numId w:val="9"/>
        </w:numPr>
        <w:spacing w:after="160" w:line="312" w:lineRule="auto"/>
      </w:pPr>
      <w:r w:rsidRPr="00AD70EE">
        <w:rPr>
          <w:b/>
        </w:rPr>
        <w:t>Electoral Institute for Sustainable Democracy in Africa (EISA</w:t>
      </w:r>
      <w:r w:rsidRPr="00DD0093">
        <w:t xml:space="preserve">) </w:t>
      </w:r>
    </w:p>
    <w:p w14:paraId="7E41A57E" w14:textId="0EEE018F" w:rsidR="00821662" w:rsidRPr="00DD0093" w:rsidRDefault="00821662" w:rsidP="00821662">
      <w:pPr>
        <w:pStyle w:val="ListParagraph"/>
        <w:numPr>
          <w:ilvl w:val="1"/>
          <w:numId w:val="9"/>
        </w:numPr>
        <w:spacing w:after="160" w:line="312" w:lineRule="auto"/>
      </w:pPr>
      <w:r>
        <w:t>Cecile Bass</w:t>
      </w:r>
      <w:r w:rsidR="005F5AE2">
        <w:t>o</w:t>
      </w:r>
      <w:r>
        <w:t>mo</w:t>
      </w:r>
    </w:p>
    <w:p w14:paraId="3776C078" w14:textId="77777777" w:rsidR="00821662" w:rsidRPr="00DD0093" w:rsidRDefault="00821662" w:rsidP="00821662">
      <w:pPr>
        <w:pStyle w:val="ListParagraph"/>
        <w:numPr>
          <w:ilvl w:val="1"/>
          <w:numId w:val="9"/>
        </w:numPr>
        <w:spacing w:after="160" w:line="312" w:lineRule="auto"/>
      </w:pPr>
      <w:r>
        <w:t>Denis Kadima</w:t>
      </w:r>
    </w:p>
    <w:p w14:paraId="61C2926F" w14:textId="77777777" w:rsidR="00821662" w:rsidRDefault="00821662" w:rsidP="00821662">
      <w:pPr>
        <w:pStyle w:val="ListParagraph"/>
        <w:numPr>
          <w:ilvl w:val="1"/>
          <w:numId w:val="9"/>
        </w:numPr>
        <w:spacing w:after="160" w:line="312" w:lineRule="auto"/>
      </w:pPr>
      <w:r>
        <w:t>Ilona Tip</w:t>
      </w:r>
    </w:p>
    <w:p w14:paraId="00789A2C" w14:textId="77777777" w:rsidR="00821662" w:rsidRPr="00AD70EE" w:rsidRDefault="00821662" w:rsidP="00821662">
      <w:pPr>
        <w:pStyle w:val="ListParagraph"/>
        <w:numPr>
          <w:ilvl w:val="0"/>
          <w:numId w:val="9"/>
        </w:numPr>
        <w:spacing w:after="160" w:line="312" w:lineRule="auto"/>
        <w:rPr>
          <w:b/>
        </w:rPr>
      </w:pPr>
      <w:r w:rsidRPr="00AD70EE">
        <w:rPr>
          <w:b/>
        </w:rPr>
        <w:t>EU Election Observation and Democratic Support (EODS)</w:t>
      </w:r>
    </w:p>
    <w:p w14:paraId="2DBF4867" w14:textId="77777777" w:rsidR="00821662" w:rsidRPr="00DD0093" w:rsidRDefault="00821662" w:rsidP="00821662">
      <w:pPr>
        <w:pStyle w:val="ListParagraph"/>
        <w:numPr>
          <w:ilvl w:val="1"/>
          <w:numId w:val="9"/>
        </w:numPr>
        <w:spacing w:after="160" w:line="312" w:lineRule="auto"/>
      </w:pPr>
      <w:r>
        <w:t>Gilles Saphy</w:t>
      </w:r>
    </w:p>
    <w:p w14:paraId="1E4956A9" w14:textId="77777777" w:rsidR="00821662" w:rsidRPr="00AD70EE" w:rsidRDefault="00821662" w:rsidP="00821662">
      <w:pPr>
        <w:pStyle w:val="ListParagraph"/>
        <w:numPr>
          <w:ilvl w:val="0"/>
          <w:numId w:val="9"/>
        </w:numPr>
        <w:spacing w:after="160" w:line="312" w:lineRule="auto"/>
        <w:rPr>
          <w:b/>
        </w:rPr>
      </w:pPr>
      <w:r w:rsidRPr="00AD70EE">
        <w:rPr>
          <w:b/>
        </w:rPr>
        <w:t>European Platform for Democratic Elections (EPDE); Donetsk Voters’ Committee</w:t>
      </w:r>
    </w:p>
    <w:p w14:paraId="7E8E5C0F" w14:textId="77777777" w:rsidR="00821662" w:rsidRDefault="00821662" w:rsidP="00821662">
      <w:pPr>
        <w:pStyle w:val="ListParagraph"/>
        <w:numPr>
          <w:ilvl w:val="1"/>
          <w:numId w:val="9"/>
        </w:numPr>
        <w:spacing w:after="160" w:line="312" w:lineRule="auto"/>
      </w:pPr>
      <w:r>
        <w:t>Sergiy Tkachenko</w:t>
      </w:r>
    </w:p>
    <w:p w14:paraId="366E98A8" w14:textId="77777777" w:rsidR="00821662" w:rsidRPr="00AD70EE" w:rsidRDefault="00821662" w:rsidP="00821662">
      <w:pPr>
        <w:pStyle w:val="ListParagraph"/>
        <w:numPr>
          <w:ilvl w:val="0"/>
          <w:numId w:val="9"/>
        </w:numPr>
        <w:spacing w:after="160" w:line="312" w:lineRule="auto"/>
        <w:rPr>
          <w:b/>
        </w:rPr>
      </w:pPr>
      <w:r w:rsidRPr="00AD70EE">
        <w:rPr>
          <w:b/>
        </w:rPr>
        <w:t>European Union, External Action Service, Democracy and Election Observation (EEAS)</w:t>
      </w:r>
    </w:p>
    <w:p w14:paraId="4BE34829" w14:textId="77777777" w:rsidR="00821662" w:rsidRDefault="00821662" w:rsidP="00821662">
      <w:pPr>
        <w:pStyle w:val="ListParagraph"/>
        <w:numPr>
          <w:ilvl w:val="1"/>
          <w:numId w:val="9"/>
        </w:numPr>
        <w:spacing w:after="160" w:line="312" w:lineRule="auto"/>
      </w:pPr>
      <w:r w:rsidRPr="00DD0093">
        <w:t>Lora Borissova</w:t>
      </w:r>
    </w:p>
    <w:p w14:paraId="695432A5" w14:textId="77777777" w:rsidR="00821662" w:rsidRDefault="00821662" w:rsidP="00821662">
      <w:pPr>
        <w:pStyle w:val="ListParagraph"/>
        <w:numPr>
          <w:ilvl w:val="1"/>
          <w:numId w:val="9"/>
        </w:numPr>
        <w:spacing w:after="160" w:line="312" w:lineRule="auto"/>
      </w:pPr>
      <w:r>
        <w:t>Emanuele Giaufret</w:t>
      </w:r>
    </w:p>
    <w:p w14:paraId="5E27D768" w14:textId="77777777" w:rsidR="00821662" w:rsidRDefault="00821662" w:rsidP="00821662">
      <w:pPr>
        <w:pStyle w:val="ListParagraph"/>
        <w:numPr>
          <w:ilvl w:val="1"/>
          <w:numId w:val="9"/>
        </w:numPr>
        <w:spacing w:after="160" w:line="312" w:lineRule="auto"/>
      </w:pPr>
      <w:r>
        <w:t>Isabel Martinho</w:t>
      </w:r>
    </w:p>
    <w:p w14:paraId="397F8719" w14:textId="77777777" w:rsidR="00821662" w:rsidRPr="00AD70EE" w:rsidRDefault="00821662" w:rsidP="00821662">
      <w:pPr>
        <w:pStyle w:val="ListParagraph"/>
        <w:numPr>
          <w:ilvl w:val="0"/>
          <w:numId w:val="9"/>
        </w:numPr>
        <w:spacing w:after="160" w:line="312" w:lineRule="auto"/>
        <w:rPr>
          <w:b/>
        </w:rPr>
      </w:pPr>
      <w:r w:rsidRPr="00AD70EE">
        <w:rPr>
          <w:b/>
        </w:rPr>
        <w:t>Forum Asia</w:t>
      </w:r>
    </w:p>
    <w:p w14:paraId="6C6EAD82" w14:textId="77777777" w:rsidR="00821662" w:rsidRPr="00DD0093" w:rsidRDefault="00821662" w:rsidP="00821662">
      <w:pPr>
        <w:pStyle w:val="ListParagraph"/>
        <w:numPr>
          <w:ilvl w:val="1"/>
          <w:numId w:val="9"/>
        </w:numPr>
        <w:spacing w:after="160" w:line="312" w:lineRule="auto"/>
      </w:pPr>
      <w:r>
        <w:t>John Liu</w:t>
      </w:r>
    </w:p>
    <w:p w14:paraId="6D0355DA" w14:textId="77777777" w:rsidR="00821662" w:rsidRPr="00AD70EE" w:rsidRDefault="00821662" w:rsidP="00821662">
      <w:pPr>
        <w:pStyle w:val="ListParagraph"/>
        <w:numPr>
          <w:ilvl w:val="0"/>
          <w:numId w:val="9"/>
        </w:numPr>
        <w:spacing w:after="160" w:line="312" w:lineRule="auto"/>
        <w:rPr>
          <w:b/>
        </w:rPr>
      </w:pPr>
      <w:r w:rsidRPr="00AD70EE">
        <w:rPr>
          <w:b/>
        </w:rPr>
        <w:t>Inter-American Commission on Human Rights (IACHR)</w:t>
      </w:r>
    </w:p>
    <w:p w14:paraId="34016F54" w14:textId="77777777" w:rsidR="00821662" w:rsidRPr="00DD0093" w:rsidRDefault="00821662" w:rsidP="00821662">
      <w:pPr>
        <w:pStyle w:val="ListParagraph"/>
        <w:numPr>
          <w:ilvl w:val="1"/>
          <w:numId w:val="9"/>
        </w:numPr>
        <w:spacing w:after="160" w:line="312" w:lineRule="auto"/>
      </w:pPr>
      <w:r w:rsidRPr="00DD0093">
        <w:t>Malene Alleyne</w:t>
      </w:r>
    </w:p>
    <w:p w14:paraId="3618A8FB" w14:textId="77777777" w:rsidR="00821662" w:rsidRPr="00AD70EE" w:rsidRDefault="00821662" w:rsidP="00821662">
      <w:pPr>
        <w:pStyle w:val="ListParagraph"/>
        <w:numPr>
          <w:ilvl w:val="0"/>
          <w:numId w:val="9"/>
        </w:numPr>
        <w:spacing w:after="160" w:line="312" w:lineRule="auto"/>
        <w:rPr>
          <w:b/>
        </w:rPr>
      </w:pPr>
      <w:r w:rsidRPr="00AD70EE">
        <w:rPr>
          <w:b/>
        </w:rPr>
        <w:t>International Foundation for Electoral Systems (IFES)</w:t>
      </w:r>
    </w:p>
    <w:p w14:paraId="6B177940" w14:textId="77777777" w:rsidR="00821662" w:rsidRPr="00DD0093" w:rsidRDefault="00821662" w:rsidP="00821662">
      <w:pPr>
        <w:pStyle w:val="ListParagraph"/>
        <w:numPr>
          <w:ilvl w:val="1"/>
          <w:numId w:val="9"/>
        </w:numPr>
        <w:spacing w:after="160" w:line="312" w:lineRule="auto"/>
      </w:pPr>
      <w:r>
        <w:t>Michael Svetlik</w:t>
      </w:r>
    </w:p>
    <w:p w14:paraId="7E9384CE" w14:textId="77777777" w:rsidR="00821662" w:rsidRDefault="00821662" w:rsidP="00821662">
      <w:pPr>
        <w:pStyle w:val="ListParagraph"/>
        <w:numPr>
          <w:ilvl w:val="1"/>
          <w:numId w:val="9"/>
        </w:numPr>
        <w:spacing w:after="160" w:line="312" w:lineRule="auto"/>
      </w:pPr>
      <w:r>
        <w:t>Chad Vickery</w:t>
      </w:r>
    </w:p>
    <w:p w14:paraId="7C5ADD13" w14:textId="77777777" w:rsidR="00821662" w:rsidRPr="00AD70EE" w:rsidRDefault="00821662" w:rsidP="00821662">
      <w:pPr>
        <w:pStyle w:val="ListParagraph"/>
        <w:numPr>
          <w:ilvl w:val="0"/>
          <w:numId w:val="9"/>
        </w:numPr>
        <w:spacing w:after="160" w:line="312" w:lineRule="auto"/>
        <w:rPr>
          <w:b/>
        </w:rPr>
      </w:pPr>
      <w:r w:rsidRPr="00AD70EE">
        <w:rPr>
          <w:b/>
        </w:rPr>
        <w:t>International IDEA</w:t>
      </w:r>
    </w:p>
    <w:p w14:paraId="44E0270D" w14:textId="77777777" w:rsidR="00821662" w:rsidRPr="00DD0093" w:rsidRDefault="00821662" w:rsidP="00821662">
      <w:pPr>
        <w:pStyle w:val="ListParagraph"/>
        <w:numPr>
          <w:ilvl w:val="1"/>
          <w:numId w:val="9"/>
        </w:numPr>
        <w:spacing w:after="160" w:line="312" w:lineRule="auto"/>
      </w:pPr>
      <w:r>
        <w:t>Therese Laanela</w:t>
      </w:r>
    </w:p>
    <w:p w14:paraId="6646EF05" w14:textId="77777777" w:rsidR="00821662" w:rsidRDefault="00821662" w:rsidP="00821662">
      <w:pPr>
        <w:pStyle w:val="ListParagraph"/>
        <w:numPr>
          <w:ilvl w:val="1"/>
          <w:numId w:val="9"/>
        </w:numPr>
        <w:spacing w:after="160" w:line="312" w:lineRule="auto"/>
      </w:pPr>
      <w:r>
        <w:t>Frank McLoughlin</w:t>
      </w:r>
    </w:p>
    <w:p w14:paraId="4A4C6FBA" w14:textId="77777777" w:rsidR="00821662" w:rsidRPr="00AD70EE" w:rsidRDefault="00821662" w:rsidP="00821662">
      <w:pPr>
        <w:pStyle w:val="ListParagraph"/>
        <w:numPr>
          <w:ilvl w:val="0"/>
          <w:numId w:val="9"/>
        </w:numPr>
        <w:spacing w:after="160" w:line="312" w:lineRule="auto"/>
        <w:rPr>
          <w:b/>
        </w:rPr>
      </w:pPr>
      <w:r w:rsidRPr="00AD70EE">
        <w:rPr>
          <w:b/>
        </w:rPr>
        <w:t xml:space="preserve">National Citizens’ Movement for Free Elections (NAMFREL) </w:t>
      </w:r>
    </w:p>
    <w:p w14:paraId="71671566" w14:textId="77777777" w:rsidR="00821662" w:rsidRPr="00DD0093" w:rsidRDefault="00821662" w:rsidP="00821662">
      <w:pPr>
        <w:pStyle w:val="ListParagraph"/>
        <w:numPr>
          <w:ilvl w:val="1"/>
          <w:numId w:val="9"/>
        </w:numPr>
        <w:spacing w:after="160" w:line="312" w:lineRule="auto"/>
      </w:pPr>
      <w:r>
        <w:t>Eric Alvia</w:t>
      </w:r>
    </w:p>
    <w:p w14:paraId="1AACDA4D" w14:textId="77777777" w:rsidR="00821662" w:rsidRPr="00AD70EE" w:rsidRDefault="00821662" w:rsidP="00821662">
      <w:pPr>
        <w:pStyle w:val="ListParagraph"/>
        <w:numPr>
          <w:ilvl w:val="0"/>
          <w:numId w:val="9"/>
        </w:numPr>
        <w:spacing w:after="160" w:line="312" w:lineRule="auto"/>
        <w:rPr>
          <w:b/>
        </w:rPr>
      </w:pPr>
      <w:r w:rsidRPr="00AD70EE">
        <w:rPr>
          <w:b/>
        </w:rPr>
        <w:t>National Democratic Institute (NDI)</w:t>
      </w:r>
    </w:p>
    <w:p w14:paraId="743F7358" w14:textId="77777777" w:rsidR="00821662" w:rsidRDefault="00821662" w:rsidP="00821662">
      <w:pPr>
        <w:pStyle w:val="ListParagraph"/>
        <w:numPr>
          <w:ilvl w:val="1"/>
          <w:numId w:val="9"/>
        </w:numPr>
        <w:spacing w:after="160" w:line="312" w:lineRule="auto"/>
      </w:pPr>
      <w:r>
        <w:t>Julia Brothers</w:t>
      </w:r>
    </w:p>
    <w:p w14:paraId="4138D9B9" w14:textId="77777777" w:rsidR="00821662" w:rsidRPr="00DD0093" w:rsidRDefault="00821662" w:rsidP="00821662">
      <w:pPr>
        <w:pStyle w:val="ListParagraph"/>
        <w:numPr>
          <w:ilvl w:val="1"/>
          <w:numId w:val="9"/>
        </w:numPr>
        <w:spacing w:after="160" w:line="312" w:lineRule="auto"/>
      </w:pPr>
      <w:r w:rsidRPr="00DD0093">
        <w:t>Sarah Coope</w:t>
      </w:r>
      <w:r>
        <w:t>r</w:t>
      </w:r>
      <w:r w:rsidRPr="00DD0093">
        <w:t xml:space="preserve"> </w:t>
      </w:r>
    </w:p>
    <w:p w14:paraId="3D0577A2" w14:textId="77777777" w:rsidR="00821662" w:rsidRPr="00DD0093" w:rsidRDefault="00821662" w:rsidP="00821662">
      <w:pPr>
        <w:pStyle w:val="ListParagraph"/>
        <w:numPr>
          <w:ilvl w:val="1"/>
          <w:numId w:val="9"/>
        </w:numPr>
        <w:spacing w:after="160" w:line="312" w:lineRule="auto"/>
      </w:pPr>
      <w:r>
        <w:lastRenderedPageBreak/>
        <w:t>Michael McNulty</w:t>
      </w:r>
    </w:p>
    <w:p w14:paraId="15CB4B22" w14:textId="77777777" w:rsidR="00821662" w:rsidRPr="00AD70EE" w:rsidRDefault="00821662" w:rsidP="00821662">
      <w:pPr>
        <w:pStyle w:val="ListParagraph"/>
        <w:numPr>
          <w:ilvl w:val="0"/>
          <w:numId w:val="9"/>
        </w:numPr>
        <w:spacing w:after="160" w:line="312" w:lineRule="auto"/>
        <w:rPr>
          <w:b/>
        </w:rPr>
      </w:pPr>
      <w:r w:rsidRPr="00AD70EE">
        <w:rPr>
          <w:b/>
        </w:rPr>
        <w:t>Open Society Foundations (OSF)</w:t>
      </w:r>
    </w:p>
    <w:p w14:paraId="330E238E" w14:textId="77777777" w:rsidR="00821662" w:rsidRPr="00DD0093" w:rsidRDefault="00821662" w:rsidP="00821662">
      <w:pPr>
        <w:pStyle w:val="ListParagraph"/>
        <w:numPr>
          <w:ilvl w:val="1"/>
          <w:numId w:val="9"/>
        </w:numPr>
        <w:spacing w:after="160" w:line="312" w:lineRule="auto"/>
      </w:pPr>
      <w:r w:rsidRPr="00DD0093">
        <w:t>Molly Hofsommer</w:t>
      </w:r>
    </w:p>
    <w:p w14:paraId="4076CE03" w14:textId="77777777" w:rsidR="00821662" w:rsidRPr="00AD70EE" w:rsidRDefault="00821662" w:rsidP="00821662">
      <w:pPr>
        <w:pStyle w:val="ListParagraph"/>
        <w:numPr>
          <w:ilvl w:val="0"/>
          <w:numId w:val="9"/>
        </w:numPr>
        <w:spacing w:after="160" w:line="312" w:lineRule="auto"/>
        <w:rPr>
          <w:b/>
        </w:rPr>
      </w:pPr>
      <w:r w:rsidRPr="00AD70EE">
        <w:rPr>
          <w:b/>
        </w:rPr>
        <w:t>Organization of American States (OAS)</w:t>
      </w:r>
    </w:p>
    <w:p w14:paraId="28CA113F" w14:textId="77777777" w:rsidR="00821662" w:rsidRDefault="00821662" w:rsidP="00821662">
      <w:pPr>
        <w:pStyle w:val="ListParagraph"/>
        <w:numPr>
          <w:ilvl w:val="1"/>
          <w:numId w:val="9"/>
        </w:numPr>
        <w:spacing w:after="160" w:line="312" w:lineRule="auto"/>
      </w:pPr>
      <w:r>
        <w:t>Gerardo de Icaza</w:t>
      </w:r>
      <w:r w:rsidRPr="00DD0093">
        <w:t xml:space="preserve"> </w:t>
      </w:r>
    </w:p>
    <w:p w14:paraId="6B0474A7" w14:textId="77777777" w:rsidR="00821662" w:rsidRPr="00DD0093" w:rsidRDefault="00821662" w:rsidP="00821662">
      <w:pPr>
        <w:pStyle w:val="ListParagraph"/>
        <w:numPr>
          <w:ilvl w:val="1"/>
          <w:numId w:val="9"/>
        </w:numPr>
        <w:spacing w:after="160" w:line="312" w:lineRule="auto"/>
      </w:pPr>
      <w:r w:rsidRPr="00DD0093">
        <w:t>Sara Mia</w:t>
      </w:r>
      <w:r>
        <w:t xml:space="preserve"> Noguera</w:t>
      </w:r>
    </w:p>
    <w:p w14:paraId="24FC118C" w14:textId="77777777" w:rsidR="00821662" w:rsidRDefault="00821662" w:rsidP="00821662">
      <w:pPr>
        <w:pStyle w:val="ListParagraph"/>
        <w:numPr>
          <w:ilvl w:val="1"/>
          <w:numId w:val="9"/>
        </w:numPr>
        <w:spacing w:after="160" w:line="312" w:lineRule="auto"/>
      </w:pPr>
      <w:r>
        <w:t>Brenda Santamaria</w:t>
      </w:r>
    </w:p>
    <w:p w14:paraId="7539EA78" w14:textId="77777777" w:rsidR="00821662" w:rsidRPr="00AD70EE" w:rsidRDefault="00821662" w:rsidP="00821662">
      <w:pPr>
        <w:pStyle w:val="ListParagraph"/>
        <w:numPr>
          <w:ilvl w:val="0"/>
          <w:numId w:val="9"/>
        </w:numPr>
        <w:spacing w:after="160" w:line="312" w:lineRule="auto"/>
        <w:rPr>
          <w:b/>
        </w:rPr>
      </w:pPr>
      <w:r w:rsidRPr="00AD70EE">
        <w:rPr>
          <w:b/>
        </w:rPr>
        <w:t>Organization for Security and Cooperation in Europe – Office for Democratic Institutions and Human Rights (OSCE/ODIHR)</w:t>
      </w:r>
    </w:p>
    <w:p w14:paraId="49E4E9CA" w14:textId="77777777" w:rsidR="00821662" w:rsidRDefault="00821662" w:rsidP="00821662">
      <w:pPr>
        <w:pStyle w:val="ListParagraph"/>
        <w:numPr>
          <w:ilvl w:val="1"/>
          <w:numId w:val="9"/>
        </w:numPr>
        <w:spacing w:after="160" w:line="312" w:lineRule="auto"/>
      </w:pPr>
      <w:r w:rsidRPr="00DD0093">
        <w:t>Beata Martin-Rozumilowicz</w:t>
      </w:r>
    </w:p>
    <w:p w14:paraId="6DE9CF4F" w14:textId="77777777" w:rsidR="00821662" w:rsidRPr="00DD0093" w:rsidRDefault="00821662" w:rsidP="00821662">
      <w:pPr>
        <w:pStyle w:val="ListParagraph"/>
        <w:numPr>
          <w:ilvl w:val="1"/>
          <w:numId w:val="9"/>
        </w:numPr>
        <w:spacing w:after="160" w:line="312" w:lineRule="auto"/>
      </w:pPr>
      <w:r>
        <w:t>Alexander Shlyk</w:t>
      </w:r>
    </w:p>
    <w:p w14:paraId="3DC2FD3D" w14:textId="77777777" w:rsidR="00821662" w:rsidRPr="00AD70EE" w:rsidRDefault="00821662" w:rsidP="00821662">
      <w:pPr>
        <w:pStyle w:val="ListParagraph"/>
        <w:numPr>
          <w:ilvl w:val="0"/>
          <w:numId w:val="9"/>
        </w:numPr>
        <w:spacing w:after="160" w:line="312" w:lineRule="auto"/>
        <w:rPr>
          <w:b/>
        </w:rPr>
      </w:pPr>
      <w:r w:rsidRPr="00AD70EE">
        <w:rPr>
          <w:b/>
        </w:rPr>
        <w:t>United Nations Development Programme (UNDP)</w:t>
      </w:r>
    </w:p>
    <w:p w14:paraId="7C79EA98" w14:textId="77777777" w:rsidR="00821662" w:rsidRDefault="00821662" w:rsidP="00821662">
      <w:pPr>
        <w:pStyle w:val="ListParagraph"/>
        <w:numPr>
          <w:ilvl w:val="1"/>
          <w:numId w:val="9"/>
        </w:numPr>
        <w:spacing w:after="160" w:line="312" w:lineRule="auto"/>
      </w:pPr>
      <w:r>
        <w:t>Dan Malinovich</w:t>
      </w:r>
    </w:p>
    <w:p w14:paraId="6C29B676" w14:textId="77777777" w:rsidR="00821662" w:rsidRDefault="00821662" w:rsidP="00821662">
      <w:pPr>
        <w:pStyle w:val="ListParagraph"/>
        <w:numPr>
          <w:ilvl w:val="1"/>
          <w:numId w:val="9"/>
        </w:numPr>
        <w:spacing w:after="160" w:line="312" w:lineRule="auto"/>
      </w:pPr>
      <w:r>
        <w:t>Niall McCann</w:t>
      </w:r>
    </w:p>
    <w:p w14:paraId="1749C6C7" w14:textId="77777777" w:rsidR="00821662" w:rsidRPr="00AD70EE" w:rsidRDefault="00821662" w:rsidP="00821662">
      <w:pPr>
        <w:pStyle w:val="ListParagraph"/>
        <w:numPr>
          <w:ilvl w:val="0"/>
          <w:numId w:val="9"/>
        </w:numPr>
        <w:spacing w:after="160" w:line="312" w:lineRule="auto"/>
        <w:rPr>
          <w:b/>
        </w:rPr>
      </w:pPr>
      <w:r w:rsidRPr="00AD70EE">
        <w:rPr>
          <w:b/>
        </w:rPr>
        <w:t>United Nations Electoral Assistance Division (UNEAD)</w:t>
      </w:r>
    </w:p>
    <w:p w14:paraId="045B8827" w14:textId="77777777" w:rsidR="00821662" w:rsidRPr="00DD0093" w:rsidRDefault="00821662" w:rsidP="00821662">
      <w:pPr>
        <w:pStyle w:val="ListParagraph"/>
        <w:numPr>
          <w:ilvl w:val="1"/>
          <w:numId w:val="9"/>
        </w:numPr>
        <w:spacing w:after="160" w:line="312" w:lineRule="auto"/>
      </w:pPr>
      <w:r w:rsidRPr="00DD0093">
        <w:t>Maarten Ha</w:t>
      </w:r>
      <w:r>
        <w:t>lff</w:t>
      </w:r>
    </w:p>
    <w:p w14:paraId="4682FB10" w14:textId="77777777" w:rsidR="00821662" w:rsidRPr="00DD0093" w:rsidRDefault="00821662" w:rsidP="00821662">
      <w:pPr>
        <w:pStyle w:val="ListParagraph"/>
        <w:numPr>
          <w:ilvl w:val="1"/>
          <w:numId w:val="9"/>
        </w:numPr>
        <w:spacing w:after="160" w:line="312" w:lineRule="auto"/>
      </w:pPr>
      <w:r>
        <w:t>Andrew Hyslop</w:t>
      </w:r>
      <w:r w:rsidRPr="00DD0093">
        <w:t xml:space="preserve"> </w:t>
      </w:r>
    </w:p>
    <w:p w14:paraId="29E665D0" w14:textId="77777777" w:rsidR="00821662" w:rsidRPr="00DD0093" w:rsidRDefault="00821662" w:rsidP="00821662">
      <w:pPr>
        <w:pStyle w:val="ListParagraph"/>
        <w:numPr>
          <w:ilvl w:val="1"/>
          <w:numId w:val="9"/>
        </w:numPr>
        <w:spacing w:after="160" w:line="312" w:lineRule="auto"/>
      </w:pPr>
      <w:r>
        <w:t>Craig Jenness</w:t>
      </w:r>
    </w:p>
    <w:p w14:paraId="06DC9D9B" w14:textId="77777777" w:rsidR="00821662" w:rsidRDefault="00821662" w:rsidP="00821662">
      <w:pPr>
        <w:pStyle w:val="ListParagraph"/>
        <w:numPr>
          <w:ilvl w:val="1"/>
          <w:numId w:val="9"/>
        </w:numPr>
        <w:spacing w:after="160" w:line="312" w:lineRule="auto"/>
      </w:pPr>
      <w:r>
        <w:t>Filon Morar</w:t>
      </w:r>
    </w:p>
    <w:p w14:paraId="5896E9E5" w14:textId="77777777" w:rsidR="00821662" w:rsidRPr="00AD70EE" w:rsidRDefault="00821662" w:rsidP="00821662">
      <w:pPr>
        <w:pStyle w:val="ListParagraph"/>
        <w:numPr>
          <w:ilvl w:val="0"/>
          <w:numId w:val="9"/>
        </w:numPr>
        <w:spacing w:after="160" w:line="312" w:lineRule="auto"/>
        <w:rPr>
          <w:b/>
        </w:rPr>
      </w:pPr>
      <w:r w:rsidRPr="00AD70EE">
        <w:rPr>
          <w:b/>
        </w:rPr>
        <w:t>United Nations Office of the High Commissioner for Human Rights (OHCHR)</w:t>
      </w:r>
    </w:p>
    <w:p w14:paraId="3097E4F0" w14:textId="77777777" w:rsidR="00821662" w:rsidRPr="00DD0093" w:rsidRDefault="00821662" w:rsidP="00821662">
      <w:pPr>
        <w:pStyle w:val="ListParagraph"/>
        <w:numPr>
          <w:ilvl w:val="1"/>
          <w:numId w:val="9"/>
        </w:numPr>
        <w:spacing w:after="160" w:line="312" w:lineRule="auto"/>
      </w:pPr>
      <w:r>
        <w:t>Mohammad Abu-Harthie</w:t>
      </w:r>
    </w:p>
    <w:p w14:paraId="4E36907F" w14:textId="77777777" w:rsidR="00821662" w:rsidRDefault="00821662" w:rsidP="00821662">
      <w:pPr>
        <w:pStyle w:val="ListParagraph"/>
        <w:numPr>
          <w:ilvl w:val="1"/>
          <w:numId w:val="9"/>
        </w:numPr>
        <w:spacing w:after="160" w:line="312" w:lineRule="auto"/>
      </w:pPr>
      <w:r>
        <w:t>Ilona Alexander</w:t>
      </w:r>
    </w:p>
    <w:p w14:paraId="1E5232A7" w14:textId="77777777" w:rsidR="00821662" w:rsidRDefault="00821662" w:rsidP="00821662">
      <w:pPr>
        <w:pStyle w:val="ListParagraph"/>
        <w:numPr>
          <w:ilvl w:val="1"/>
          <w:numId w:val="9"/>
        </w:numPr>
        <w:spacing w:after="160" w:line="312" w:lineRule="auto"/>
      </w:pPr>
      <w:r>
        <w:t>Jose Maria Arañaz</w:t>
      </w:r>
    </w:p>
    <w:p w14:paraId="526DF454" w14:textId="77777777" w:rsidR="00821662" w:rsidRPr="00DD0093" w:rsidRDefault="00821662" w:rsidP="00821662">
      <w:pPr>
        <w:pStyle w:val="ListParagraph"/>
        <w:numPr>
          <w:ilvl w:val="1"/>
          <w:numId w:val="9"/>
        </w:numPr>
        <w:spacing w:after="160" w:line="312" w:lineRule="auto"/>
      </w:pPr>
      <w:r>
        <w:t>Amanda Flores</w:t>
      </w:r>
      <w:r w:rsidRPr="00DD0093">
        <w:t xml:space="preserve"> </w:t>
      </w:r>
    </w:p>
    <w:p w14:paraId="5F43152D" w14:textId="77777777" w:rsidR="00821662" w:rsidRPr="00DD0093" w:rsidRDefault="00821662" w:rsidP="00821662">
      <w:pPr>
        <w:pStyle w:val="ListParagraph"/>
        <w:numPr>
          <w:ilvl w:val="1"/>
          <w:numId w:val="9"/>
        </w:numPr>
        <w:spacing w:after="160" w:line="312" w:lineRule="auto"/>
      </w:pPr>
      <w:r>
        <w:t>Peggy Hicks</w:t>
      </w:r>
    </w:p>
    <w:p w14:paraId="2B90574F" w14:textId="77777777" w:rsidR="00821662" w:rsidRPr="00DD0093" w:rsidRDefault="00821662" w:rsidP="00821662">
      <w:pPr>
        <w:pStyle w:val="ListParagraph"/>
        <w:numPr>
          <w:ilvl w:val="1"/>
          <w:numId w:val="9"/>
        </w:numPr>
        <w:spacing w:after="160" w:line="312" w:lineRule="auto"/>
      </w:pPr>
      <w:r>
        <w:t>Orest Nowosad</w:t>
      </w:r>
    </w:p>
    <w:p w14:paraId="5B72441E" w14:textId="77777777" w:rsidR="00821662" w:rsidRPr="00DD0093" w:rsidRDefault="00821662" w:rsidP="00821662">
      <w:pPr>
        <w:pStyle w:val="ListParagraph"/>
        <w:numPr>
          <w:ilvl w:val="1"/>
          <w:numId w:val="9"/>
        </w:numPr>
        <w:spacing w:after="160" w:line="312" w:lineRule="auto"/>
      </w:pPr>
      <w:r>
        <w:t>Agnès Picod</w:t>
      </w:r>
    </w:p>
    <w:p w14:paraId="49AC2B9C" w14:textId="77777777" w:rsidR="00821662" w:rsidRPr="00DD0093" w:rsidRDefault="00821662" w:rsidP="00821662">
      <w:pPr>
        <w:pStyle w:val="ListParagraph"/>
        <w:numPr>
          <w:ilvl w:val="1"/>
          <w:numId w:val="9"/>
        </w:numPr>
        <w:spacing w:after="160" w:line="312" w:lineRule="auto"/>
      </w:pPr>
      <w:r>
        <w:t>Nathalie Prouvez</w:t>
      </w:r>
    </w:p>
    <w:p w14:paraId="6D11CB0C" w14:textId="77777777" w:rsidR="00821662" w:rsidRPr="00DD0093" w:rsidRDefault="00821662" w:rsidP="00821662">
      <w:pPr>
        <w:pStyle w:val="ListParagraph"/>
        <w:numPr>
          <w:ilvl w:val="1"/>
          <w:numId w:val="9"/>
        </w:numPr>
        <w:spacing w:after="160" w:line="312" w:lineRule="auto"/>
      </w:pPr>
      <w:r w:rsidRPr="00DD0093">
        <w:t>Mona Rishm</w:t>
      </w:r>
      <w:r>
        <w:t>awi</w:t>
      </w:r>
    </w:p>
    <w:p w14:paraId="5EA78138" w14:textId="77777777" w:rsidR="00821662" w:rsidRDefault="00821662" w:rsidP="00821662">
      <w:pPr>
        <w:pStyle w:val="ListParagraph"/>
        <w:numPr>
          <w:ilvl w:val="1"/>
          <w:numId w:val="9"/>
        </w:numPr>
        <w:spacing w:after="160" w:line="312" w:lineRule="auto"/>
      </w:pPr>
      <w:r w:rsidRPr="00DD0093">
        <w:t xml:space="preserve">Ivan Šimonović </w:t>
      </w:r>
    </w:p>
    <w:p w14:paraId="5B1536E8" w14:textId="77777777" w:rsidR="00821662" w:rsidRDefault="00821662" w:rsidP="00821662">
      <w:pPr>
        <w:pStyle w:val="ListParagraph"/>
        <w:numPr>
          <w:ilvl w:val="1"/>
          <w:numId w:val="9"/>
        </w:numPr>
        <w:spacing w:after="160" w:line="312" w:lineRule="auto"/>
      </w:pPr>
      <w:r>
        <w:t>Shahrzad Tadjbakhsh</w:t>
      </w:r>
      <w:r w:rsidRPr="00EC5B88">
        <w:t xml:space="preserve"> </w:t>
      </w:r>
    </w:p>
    <w:p w14:paraId="57E83BE5" w14:textId="77777777" w:rsidR="00821662" w:rsidRPr="00DD0093" w:rsidRDefault="00821662" w:rsidP="00821662">
      <w:pPr>
        <w:pStyle w:val="ListParagraph"/>
        <w:numPr>
          <w:ilvl w:val="1"/>
          <w:numId w:val="9"/>
        </w:numPr>
        <w:spacing w:after="160" w:line="312" w:lineRule="auto"/>
      </w:pPr>
      <w:r>
        <w:t>Hernan Vales</w:t>
      </w:r>
    </w:p>
    <w:p w14:paraId="034EA353" w14:textId="77777777" w:rsidR="00821662" w:rsidRPr="00DD0093" w:rsidRDefault="00821662" w:rsidP="00821662">
      <w:pPr>
        <w:pStyle w:val="ListParagraph"/>
        <w:numPr>
          <w:ilvl w:val="1"/>
          <w:numId w:val="9"/>
        </w:numPr>
        <w:spacing w:after="160" w:line="312" w:lineRule="auto"/>
      </w:pPr>
      <w:r>
        <w:t>Simon Walker</w:t>
      </w:r>
    </w:p>
    <w:p w14:paraId="7ADC668A" w14:textId="77777777" w:rsidR="00821662" w:rsidRPr="00AD70EE" w:rsidRDefault="00821662" w:rsidP="00821662">
      <w:pPr>
        <w:pStyle w:val="ListParagraph"/>
        <w:numPr>
          <w:ilvl w:val="0"/>
          <w:numId w:val="9"/>
        </w:numPr>
        <w:spacing w:after="160" w:line="312" w:lineRule="auto"/>
        <w:rPr>
          <w:b/>
        </w:rPr>
      </w:pPr>
      <w:r w:rsidRPr="00AD70EE">
        <w:rPr>
          <w:b/>
        </w:rPr>
        <w:t>Universal Rights Group</w:t>
      </w:r>
    </w:p>
    <w:p w14:paraId="7456AF99" w14:textId="77777777" w:rsidR="00821662" w:rsidRDefault="00821662" w:rsidP="00821662">
      <w:pPr>
        <w:pStyle w:val="ListParagraph"/>
        <w:numPr>
          <w:ilvl w:val="1"/>
          <w:numId w:val="9"/>
        </w:numPr>
        <w:spacing w:after="160" w:line="312" w:lineRule="auto"/>
      </w:pPr>
      <w:r>
        <w:t>Marc Limon</w:t>
      </w:r>
    </w:p>
    <w:p w14:paraId="3C9B6DE7" w14:textId="77777777" w:rsidR="00821662" w:rsidRPr="00AD70EE" w:rsidRDefault="00821662" w:rsidP="00821662">
      <w:pPr>
        <w:pStyle w:val="ListParagraph"/>
        <w:numPr>
          <w:ilvl w:val="0"/>
          <w:numId w:val="9"/>
        </w:numPr>
        <w:spacing w:after="160" w:line="312" w:lineRule="auto"/>
        <w:rPr>
          <w:b/>
        </w:rPr>
      </w:pPr>
      <w:r w:rsidRPr="00AD70EE">
        <w:rPr>
          <w:b/>
        </w:rPr>
        <w:t>UPR Info </w:t>
      </w:r>
    </w:p>
    <w:p w14:paraId="31D4115C" w14:textId="77777777" w:rsidR="00821662" w:rsidRDefault="00821662" w:rsidP="00821662">
      <w:pPr>
        <w:pStyle w:val="ListParagraph"/>
        <w:numPr>
          <w:ilvl w:val="1"/>
          <w:numId w:val="9"/>
        </w:numPr>
        <w:spacing w:after="160" w:line="312" w:lineRule="auto"/>
      </w:pPr>
      <w:r>
        <w:t>Jean Claude Vignoli</w:t>
      </w:r>
    </w:p>
    <w:p w14:paraId="2FAAB31D" w14:textId="77777777" w:rsidR="00821662" w:rsidRPr="00AD70EE" w:rsidRDefault="00821662" w:rsidP="00821662">
      <w:pPr>
        <w:pStyle w:val="ListParagraph"/>
        <w:numPr>
          <w:ilvl w:val="0"/>
          <w:numId w:val="9"/>
        </w:numPr>
        <w:spacing w:after="160" w:line="312" w:lineRule="auto"/>
        <w:rPr>
          <w:b/>
        </w:rPr>
      </w:pPr>
      <w:r w:rsidRPr="00AD70EE">
        <w:rPr>
          <w:b/>
        </w:rPr>
        <w:t>United States Agency for International Development (USAID)</w:t>
      </w:r>
    </w:p>
    <w:p w14:paraId="42A63E52" w14:textId="77777777" w:rsidR="00821662" w:rsidRPr="00DD0093" w:rsidRDefault="00821662" w:rsidP="00821662">
      <w:pPr>
        <w:pStyle w:val="ListParagraph"/>
        <w:numPr>
          <w:ilvl w:val="1"/>
          <w:numId w:val="9"/>
        </w:numPr>
        <w:spacing w:after="160" w:line="312" w:lineRule="auto"/>
      </w:pPr>
      <w:r>
        <w:t>Assia Ivantcheva</w:t>
      </w:r>
    </w:p>
    <w:p w14:paraId="7EB1A102" w14:textId="77777777" w:rsidR="00821662" w:rsidRPr="00AD70EE" w:rsidRDefault="00821662" w:rsidP="00821662">
      <w:pPr>
        <w:pStyle w:val="ListParagraph"/>
        <w:numPr>
          <w:ilvl w:val="0"/>
          <w:numId w:val="9"/>
        </w:numPr>
        <w:spacing w:after="160" w:line="312" w:lineRule="auto"/>
        <w:rPr>
          <w:b/>
        </w:rPr>
      </w:pPr>
      <w:r w:rsidRPr="00AD70EE">
        <w:rPr>
          <w:b/>
        </w:rPr>
        <w:t>Venice Commission Secretariat</w:t>
      </w:r>
    </w:p>
    <w:p w14:paraId="7F7AC607" w14:textId="77777777" w:rsidR="00821662" w:rsidRPr="00DD0093" w:rsidRDefault="00821662" w:rsidP="00821662">
      <w:pPr>
        <w:pStyle w:val="ListParagraph"/>
        <w:numPr>
          <w:ilvl w:val="1"/>
          <w:numId w:val="9"/>
        </w:numPr>
        <w:spacing w:after="160" w:line="312" w:lineRule="auto"/>
      </w:pPr>
      <w:r>
        <w:t>Serguei Kouznetsov</w:t>
      </w:r>
    </w:p>
    <w:p w14:paraId="240C07EF" w14:textId="77777777" w:rsidR="00821662" w:rsidRPr="00AD70EE" w:rsidRDefault="00821662" w:rsidP="00821662">
      <w:pPr>
        <w:pStyle w:val="ListParagraph"/>
        <w:numPr>
          <w:ilvl w:val="0"/>
          <w:numId w:val="9"/>
        </w:numPr>
        <w:spacing w:after="160" w:line="312" w:lineRule="auto"/>
        <w:rPr>
          <w:b/>
        </w:rPr>
      </w:pPr>
      <w:r w:rsidRPr="00AD70EE">
        <w:rPr>
          <w:b/>
        </w:rPr>
        <w:t>Venice Commission Montenegro</w:t>
      </w:r>
    </w:p>
    <w:p w14:paraId="7C992C5E" w14:textId="77777777" w:rsidR="00821662" w:rsidRPr="00DD0093" w:rsidRDefault="00821662" w:rsidP="00821662">
      <w:pPr>
        <w:pStyle w:val="ListParagraph"/>
        <w:numPr>
          <w:ilvl w:val="1"/>
          <w:numId w:val="9"/>
        </w:numPr>
        <w:spacing w:after="160" w:line="312" w:lineRule="auto"/>
      </w:pPr>
      <w:r>
        <w:t>Srdjan Darmanovic</w:t>
      </w:r>
    </w:p>
    <w:p w14:paraId="1B481C78" w14:textId="77777777" w:rsidR="00821662" w:rsidRPr="00AD70EE" w:rsidRDefault="00821662" w:rsidP="00821662">
      <w:pPr>
        <w:pStyle w:val="ListParagraph"/>
        <w:numPr>
          <w:ilvl w:val="0"/>
          <w:numId w:val="9"/>
        </w:numPr>
        <w:spacing w:after="160" w:line="312" w:lineRule="auto"/>
        <w:rPr>
          <w:b/>
        </w:rPr>
      </w:pPr>
      <w:r w:rsidRPr="00AD70EE">
        <w:rPr>
          <w:b/>
        </w:rPr>
        <w:t>Zimbabwe Election Support Network (ZESN)</w:t>
      </w:r>
    </w:p>
    <w:p w14:paraId="3878E70F" w14:textId="77777777" w:rsidR="00821662" w:rsidRPr="00DD0093" w:rsidRDefault="00821662" w:rsidP="00821662">
      <w:pPr>
        <w:pStyle w:val="ListParagraph"/>
        <w:numPr>
          <w:ilvl w:val="1"/>
          <w:numId w:val="9"/>
        </w:numPr>
        <w:spacing w:after="160" w:line="312" w:lineRule="auto"/>
      </w:pPr>
      <w:r w:rsidRPr="00DD0093">
        <w:t>Rindai Vava</w:t>
      </w:r>
    </w:p>
    <w:p w14:paraId="1144FE86" w14:textId="77777777" w:rsidR="00821662" w:rsidRPr="00DD0093" w:rsidRDefault="00821662" w:rsidP="00821662">
      <w:pPr>
        <w:spacing w:after="160" w:line="312" w:lineRule="auto"/>
        <w:ind w:left="360" w:hanging="360"/>
      </w:pPr>
      <w:r w:rsidRPr="00AD70EE">
        <w:rPr>
          <w:b/>
        </w:rPr>
        <w:t>Human Rights Treaty Bodies Members</w:t>
      </w:r>
      <w:r>
        <w:t xml:space="preserve"> (present and former as of the date of their engagement with the project)</w:t>
      </w:r>
    </w:p>
    <w:p w14:paraId="1EE50684" w14:textId="77777777" w:rsidR="00821662" w:rsidRDefault="00821662" w:rsidP="00821662">
      <w:pPr>
        <w:pStyle w:val="ListParagraph"/>
        <w:numPr>
          <w:ilvl w:val="0"/>
          <w:numId w:val="9"/>
        </w:numPr>
        <w:spacing w:after="160" w:line="312" w:lineRule="auto"/>
      </w:pPr>
      <w:r>
        <w:t>Ilze Brands Kehris, Member, U.N. Human Rights Committee</w:t>
      </w:r>
    </w:p>
    <w:p w14:paraId="5337B365" w14:textId="77777777" w:rsidR="00821662" w:rsidRDefault="00821662" w:rsidP="00821662">
      <w:pPr>
        <w:pStyle w:val="ListParagraph"/>
        <w:numPr>
          <w:ilvl w:val="0"/>
          <w:numId w:val="9"/>
        </w:numPr>
        <w:spacing w:after="160" w:line="312" w:lineRule="auto"/>
      </w:pPr>
      <w:r>
        <w:t>Maria Soledad Cisternas Reyes, former Chair, U.N. Committee on the Rights of Persons with Disabilities</w:t>
      </w:r>
    </w:p>
    <w:p w14:paraId="1AEA016F" w14:textId="77777777" w:rsidR="00821662" w:rsidRPr="00DD0093" w:rsidRDefault="00821662" w:rsidP="00821662">
      <w:pPr>
        <w:pStyle w:val="ListParagraph"/>
        <w:numPr>
          <w:ilvl w:val="0"/>
          <w:numId w:val="9"/>
        </w:numPr>
        <w:spacing w:after="160" w:line="312" w:lineRule="auto"/>
      </w:pPr>
      <w:r w:rsidRPr="00DD0093">
        <w:t xml:space="preserve">Jasminka Dzumhur, Member, </w:t>
      </w:r>
      <w:r>
        <w:t xml:space="preserve">U.N. </w:t>
      </w:r>
      <w:r w:rsidRPr="00DD0093">
        <w:t>Committee on Migrant Workers</w:t>
      </w:r>
    </w:p>
    <w:p w14:paraId="1E45CDB4" w14:textId="77777777" w:rsidR="00821662" w:rsidRPr="00DD0093" w:rsidRDefault="00821662" w:rsidP="00821662">
      <w:pPr>
        <w:pStyle w:val="ListParagraph"/>
        <w:numPr>
          <w:ilvl w:val="0"/>
          <w:numId w:val="9"/>
        </w:numPr>
        <w:spacing w:after="160" w:line="312" w:lineRule="auto"/>
      </w:pPr>
      <w:r>
        <w:t>Felice Gaer, Member, U.N. Committee Against Torture</w:t>
      </w:r>
    </w:p>
    <w:p w14:paraId="76F125B7" w14:textId="77777777" w:rsidR="00821662" w:rsidRDefault="00821662" w:rsidP="00821662">
      <w:pPr>
        <w:pStyle w:val="ListParagraph"/>
        <w:numPr>
          <w:ilvl w:val="0"/>
          <w:numId w:val="9"/>
        </w:numPr>
        <w:spacing w:after="160" w:line="312" w:lineRule="auto"/>
      </w:pPr>
      <w:r w:rsidRPr="00DD0093">
        <w:lastRenderedPageBreak/>
        <w:t xml:space="preserve">Hilary Gbedemah, Member, </w:t>
      </w:r>
      <w:r>
        <w:t xml:space="preserve">U.N. </w:t>
      </w:r>
      <w:r w:rsidRPr="00DD0093">
        <w:t>Committee on the Elimination of Discrimination Against Women</w:t>
      </w:r>
    </w:p>
    <w:p w14:paraId="1C40C795" w14:textId="77777777" w:rsidR="00821662" w:rsidRDefault="00821662" w:rsidP="00821662">
      <w:pPr>
        <w:pStyle w:val="ListParagraph"/>
        <w:numPr>
          <w:ilvl w:val="0"/>
          <w:numId w:val="9"/>
        </w:numPr>
        <w:spacing w:after="160" w:line="312" w:lineRule="auto"/>
      </w:pPr>
      <w:r>
        <w:t>Michael O’FlahertyFormer Member</w:t>
      </w:r>
      <w:r w:rsidRPr="00DD0093">
        <w:t xml:space="preserve"> U.N. Human Rights Committee</w:t>
      </w:r>
    </w:p>
    <w:p w14:paraId="7C355A65" w14:textId="77777777" w:rsidR="00821662" w:rsidRPr="00DD0093" w:rsidRDefault="00821662" w:rsidP="00821662">
      <w:pPr>
        <w:pStyle w:val="ListParagraph"/>
        <w:numPr>
          <w:ilvl w:val="0"/>
          <w:numId w:val="9"/>
        </w:numPr>
        <w:spacing w:after="160" w:line="312" w:lineRule="auto"/>
      </w:pPr>
      <w:r w:rsidRPr="00DD0093">
        <w:t xml:space="preserve">Safak Pavey, Member, </w:t>
      </w:r>
      <w:r>
        <w:t xml:space="preserve">U.N. </w:t>
      </w:r>
      <w:r w:rsidRPr="00DD0093">
        <w:t>Committee on the Rights of Person with Disabilities</w:t>
      </w:r>
    </w:p>
    <w:p w14:paraId="25D9C888" w14:textId="77777777" w:rsidR="00821662" w:rsidRPr="00DD0093" w:rsidRDefault="00821662" w:rsidP="00821662">
      <w:pPr>
        <w:pStyle w:val="ListParagraph"/>
        <w:numPr>
          <w:ilvl w:val="0"/>
          <w:numId w:val="9"/>
        </w:numPr>
        <w:spacing w:after="160" w:line="312" w:lineRule="auto"/>
      </w:pPr>
      <w:r w:rsidRPr="00DD0093">
        <w:t>Nigel Rodley, Member, U.N. Human Rights Committee</w:t>
      </w:r>
    </w:p>
    <w:p w14:paraId="2EEEDC5A" w14:textId="77777777" w:rsidR="00821662" w:rsidRPr="00DD0093" w:rsidRDefault="00821662" w:rsidP="00821662">
      <w:pPr>
        <w:pStyle w:val="ListParagraph"/>
        <w:numPr>
          <w:ilvl w:val="0"/>
          <w:numId w:val="9"/>
        </w:numPr>
        <w:spacing w:after="160" w:line="312" w:lineRule="auto"/>
      </w:pPr>
      <w:r w:rsidRPr="00DD0093">
        <w:t>Victor Rodriguez-Rescia, Member, U.N. Human Rights Committee</w:t>
      </w:r>
    </w:p>
    <w:p w14:paraId="1C884576" w14:textId="77777777" w:rsidR="00821662" w:rsidRDefault="00821662" w:rsidP="00821662"/>
    <w:p w14:paraId="32DD6E66" w14:textId="77777777" w:rsidR="00821662" w:rsidRPr="00DD0093" w:rsidRDefault="00821662" w:rsidP="00821662">
      <w:pPr>
        <w:spacing w:after="160" w:line="312" w:lineRule="auto"/>
        <w:ind w:left="360" w:hanging="360"/>
      </w:pPr>
      <w:r w:rsidRPr="00AD70EE">
        <w:rPr>
          <w:b/>
        </w:rPr>
        <w:t>Special Procedures</w:t>
      </w:r>
      <w:r>
        <w:t xml:space="preserve"> (present and former as of the date of their engagement with the project)</w:t>
      </w:r>
    </w:p>
    <w:p w14:paraId="73E1112C" w14:textId="77777777" w:rsidR="00821662" w:rsidRDefault="00821662" w:rsidP="00821662">
      <w:pPr>
        <w:pStyle w:val="ListParagraph"/>
        <w:numPr>
          <w:ilvl w:val="0"/>
          <w:numId w:val="9"/>
        </w:numPr>
        <w:spacing w:after="160" w:line="312" w:lineRule="auto"/>
      </w:pPr>
      <w:r>
        <w:t xml:space="preserve">Gustavo Gallon, </w:t>
      </w:r>
      <w:r w:rsidRPr="00DD0093">
        <w:t xml:space="preserve">U.N. Independent Expert on the situation of human rights in Haiti </w:t>
      </w:r>
    </w:p>
    <w:p w14:paraId="1C5CC830" w14:textId="77777777" w:rsidR="00821662" w:rsidRPr="00DD0093" w:rsidRDefault="00821662" w:rsidP="00821662">
      <w:pPr>
        <w:pStyle w:val="ListParagraph"/>
        <w:numPr>
          <w:ilvl w:val="0"/>
          <w:numId w:val="9"/>
        </w:numPr>
        <w:spacing w:after="160" w:line="312" w:lineRule="auto"/>
      </w:pPr>
      <w:r>
        <w:t xml:space="preserve">David Kaye, </w:t>
      </w:r>
      <w:r w:rsidRPr="00DD0093">
        <w:t xml:space="preserve">U.N. Special Rapporteur Freedom of Opinion and Expression </w:t>
      </w:r>
    </w:p>
    <w:p w14:paraId="2E788F03" w14:textId="77777777" w:rsidR="00821662" w:rsidRPr="00DD0093" w:rsidRDefault="00821662" w:rsidP="00821662">
      <w:pPr>
        <w:pStyle w:val="ListParagraph"/>
        <w:numPr>
          <w:ilvl w:val="0"/>
          <w:numId w:val="9"/>
        </w:numPr>
        <w:spacing w:after="160" w:line="312" w:lineRule="auto"/>
      </w:pPr>
      <w:r>
        <w:t xml:space="preserve">Maina Kiai, </w:t>
      </w:r>
      <w:r w:rsidRPr="00DD0093">
        <w:t xml:space="preserve">U.N. Special Rapporteur Freedom of Association and Assembly </w:t>
      </w:r>
    </w:p>
    <w:p w14:paraId="62133B0F" w14:textId="77777777" w:rsidR="00821662" w:rsidRPr="00DD0093" w:rsidRDefault="00821662" w:rsidP="00821662">
      <w:pPr>
        <w:pStyle w:val="ListParagraph"/>
        <w:numPr>
          <w:ilvl w:val="0"/>
          <w:numId w:val="9"/>
        </w:numPr>
        <w:spacing w:after="160" w:line="312" w:lineRule="auto"/>
      </w:pPr>
      <w:r>
        <w:t xml:space="preserve">Gay McDougall, </w:t>
      </w:r>
      <w:r w:rsidRPr="00DD0093">
        <w:t>For</w:t>
      </w:r>
      <w:r>
        <w:t>mer U.N. Special Rapporteur on M</w:t>
      </w:r>
      <w:r w:rsidRPr="00DD0093">
        <w:t>inority Rights</w:t>
      </w:r>
    </w:p>
    <w:p w14:paraId="16CD878B" w14:textId="77777777" w:rsidR="00821662" w:rsidRDefault="00821662" w:rsidP="00821662">
      <w:pPr>
        <w:pStyle w:val="ListParagraph"/>
        <w:numPr>
          <w:ilvl w:val="0"/>
          <w:numId w:val="9"/>
        </w:numPr>
        <w:spacing w:after="160" w:line="312" w:lineRule="auto"/>
      </w:pPr>
      <w:r>
        <w:t xml:space="preserve">Monica Pinto, </w:t>
      </w:r>
      <w:r w:rsidRPr="00DD0093">
        <w:t>U.N. Special Rapporteur on the independence of judges and lawyers</w:t>
      </w:r>
    </w:p>
    <w:p w14:paraId="65D591D9" w14:textId="77777777" w:rsidR="00821662" w:rsidRPr="00DD0093" w:rsidRDefault="00821662" w:rsidP="00821662">
      <w:pPr>
        <w:pStyle w:val="ListParagraph"/>
        <w:numPr>
          <w:ilvl w:val="0"/>
          <w:numId w:val="9"/>
        </w:numPr>
        <w:spacing w:after="160" w:line="312" w:lineRule="auto"/>
      </w:pPr>
      <w:r>
        <w:t>Fernand de Verennes, U.N. Special Rapporteur on Minority Issues</w:t>
      </w:r>
    </w:p>
    <w:p w14:paraId="4D490E11" w14:textId="77777777" w:rsidR="00821662" w:rsidRPr="00DD0093" w:rsidRDefault="00821662" w:rsidP="00821662">
      <w:pPr>
        <w:pStyle w:val="ListParagraph"/>
        <w:numPr>
          <w:ilvl w:val="0"/>
          <w:numId w:val="9"/>
        </w:numPr>
        <w:spacing w:after="160" w:line="312" w:lineRule="auto"/>
      </w:pPr>
      <w:r>
        <w:t xml:space="preserve">Alfred de Zayas, </w:t>
      </w:r>
      <w:r w:rsidRPr="00DD0093">
        <w:t>U.N. Independent Expert on the Promotion of a Democratic and Equitable International Order</w:t>
      </w:r>
    </w:p>
    <w:p w14:paraId="06AD9306" w14:textId="77777777" w:rsidR="00821662" w:rsidRPr="00AD70EE" w:rsidRDefault="00821662" w:rsidP="00821662">
      <w:pPr>
        <w:spacing w:after="160" w:line="312" w:lineRule="auto"/>
        <w:rPr>
          <w:b/>
        </w:rPr>
      </w:pPr>
      <w:r w:rsidRPr="00AD70EE">
        <w:rPr>
          <w:b/>
        </w:rPr>
        <w:t>Representatives of States</w:t>
      </w:r>
    </w:p>
    <w:p w14:paraId="4BEDEF6C" w14:textId="77777777" w:rsidR="00821662" w:rsidRPr="00DD0093" w:rsidRDefault="00821662" w:rsidP="00821662">
      <w:pPr>
        <w:pStyle w:val="ListParagraph"/>
        <w:numPr>
          <w:ilvl w:val="0"/>
          <w:numId w:val="9"/>
        </w:numPr>
        <w:spacing w:after="160" w:line="312" w:lineRule="auto"/>
      </w:pPr>
      <w:r w:rsidRPr="00DD0093">
        <w:t>João Lucas Quental Novaes de Almeida, Brazil </w:t>
      </w:r>
    </w:p>
    <w:p w14:paraId="0206DC74" w14:textId="77777777" w:rsidR="00821662" w:rsidRPr="00DD0093" w:rsidRDefault="00821662" w:rsidP="00821662">
      <w:pPr>
        <w:pStyle w:val="ListParagraph"/>
        <w:numPr>
          <w:ilvl w:val="0"/>
          <w:numId w:val="9"/>
        </w:numPr>
        <w:spacing w:after="160" w:line="312" w:lineRule="auto"/>
      </w:pPr>
      <w:r w:rsidRPr="00DD0093">
        <w:t>Herborg Fiskaa Alvsåker, Norway </w:t>
      </w:r>
    </w:p>
    <w:p w14:paraId="5C43F5ED" w14:textId="77777777" w:rsidR="00821662" w:rsidRPr="00DD0093" w:rsidRDefault="00821662" w:rsidP="00821662">
      <w:pPr>
        <w:pStyle w:val="ListParagraph"/>
        <w:numPr>
          <w:ilvl w:val="0"/>
          <w:numId w:val="9"/>
        </w:numPr>
        <w:spacing w:after="160" w:line="312" w:lineRule="auto"/>
      </w:pPr>
      <w:r w:rsidRPr="00DD0093">
        <w:t>Yury Ambrazevich, Belarus </w:t>
      </w:r>
    </w:p>
    <w:p w14:paraId="363E7040" w14:textId="77777777" w:rsidR="00821662" w:rsidRDefault="00821662" w:rsidP="00821662">
      <w:pPr>
        <w:pStyle w:val="ListParagraph"/>
        <w:numPr>
          <w:ilvl w:val="0"/>
          <w:numId w:val="9"/>
        </w:numPr>
        <w:spacing w:after="160" w:line="312" w:lineRule="auto"/>
      </w:pPr>
      <w:r w:rsidRPr="00DD0093">
        <w:t>Molla Belete Chekole, Ethiopia </w:t>
      </w:r>
    </w:p>
    <w:p w14:paraId="146507FE" w14:textId="77777777" w:rsidR="00821662" w:rsidRPr="00DD0093" w:rsidRDefault="00821662" w:rsidP="00821662">
      <w:pPr>
        <w:pStyle w:val="ListParagraph"/>
        <w:numPr>
          <w:ilvl w:val="0"/>
          <w:numId w:val="9"/>
        </w:numPr>
        <w:spacing w:after="160" w:line="312" w:lineRule="auto"/>
      </w:pPr>
      <w:r w:rsidRPr="00DD0093">
        <w:t>Aly Diané, Republic of Guinea </w:t>
      </w:r>
    </w:p>
    <w:p w14:paraId="02F04C5B" w14:textId="77777777" w:rsidR="00821662" w:rsidRPr="00DD0093" w:rsidRDefault="00821662" w:rsidP="00821662">
      <w:pPr>
        <w:pStyle w:val="ListParagraph"/>
        <w:numPr>
          <w:ilvl w:val="0"/>
          <w:numId w:val="9"/>
        </w:numPr>
        <w:spacing w:after="160" w:line="312" w:lineRule="auto"/>
      </w:pPr>
      <w:r w:rsidRPr="00DD0093">
        <w:t>Dijana Tabori Dorović, Bosnia &amp; Herzegovina </w:t>
      </w:r>
    </w:p>
    <w:p w14:paraId="57ADF18F" w14:textId="77777777" w:rsidR="00821662" w:rsidRPr="00DD0093" w:rsidRDefault="00821662" w:rsidP="00821662">
      <w:pPr>
        <w:pStyle w:val="ListParagraph"/>
        <w:numPr>
          <w:ilvl w:val="0"/>
          <w:numId w:val="9"/>
        </w:numPr>
        <w:spacing w:after="160" w:line="312" w:lineRule="auto"/>
      </w:pPr>
      <w:r w:rsidRPr="00DD0093">
        <w:t>Barbara Fontana, Switzerland </w:t>
      </w:r>
    </w:p>
    <w:p w14:paraId="4718E520" w14:textId="77777777" w:rsidR="00821662" w:rsidRPr="00DD0093" w:rsidRDefault="00821662" w:rsidP="00821662">
      <w:pPr>
        <w:pStyle w:val="ListParagraph"/>
        <w:numPr>
          <w:ilvl w:val="0"/>
          <w:numId w:val="9"/>
        </w:numPr>
        <w:spacing w:after="160" w:line="312" w:lineRule="auto"/>
      </w:pPr>
      <w:r w:rsidRPr="00DD0093">
        <w:t>Antar Hassani, Algeria </w:t>
      </w:r>
    </w:p>
    <w:p w14:paraId="211AD5DE" w14:textId="77777777" w:rsidR="00821662" w:rsidRDefault="00821662" w:rsidP="00821662">
      <w:pPr>
        <w:pStyle w:val="ListParagraph"/>
        <w:numPr>
          <w:ilvl w:val="0"/>
          <w:numId w:val="9"/>
        </w:numPr>
        <w:spacing w:after="160" w:line="312" w:lineRule="auto"/>
      </w:pPr>
      <w:r>
        <w:t>Jan Kaminek, Czech Republic</w:t>
      </w:r>
    </w:p>
    <w:p w14:paraId="1D8B65F0" w14:textId="77777777" w:rsidR="00821662" w:rsidRPr="00DD0093" w:rsidRDefault="00821662" w:rsidP="00821662">
      <w:pPr>
        <w:pStyle w:val="ListParagraph"/>
        <w:numPr>
          <w:ilvl w:val="0"/>
          <w:numId w:val="9"/>
        </w:numPr>
        <w:spacing w:after="160" w:line="312" w:lineRule="auto"/>
      </w:pPr>
      <w:r w:rsidRPr="00DD0093">
        <w:t>Špela Košir, Slovenia </w:t>
      </w:r>
    </w:p>
    <w:p w14:paraId="07D27C30" w14:textId="77777777" w:rsidR="00821662" w:rsidRPr="00DD0093" w:rsidRDefault="00821662" w:rsidP="00821662">
      <w:pPr>
        <w:pStyle w:val="ListParagraph"/>
        <w:numPr>
          <w:ilvl w:val="0"/>
          <w:numId w:val="9"/>
        </w:numPr>
        <w:spacing w:after="160" w:line="312" w:lineRule="auto"/>
      </w:pPr>
      <w:r w:rsidRPr="00DD0093">
        <w:t>Daniel Kottut, Kenya </w:t>
      </w:r>
    </w:p>
    <w:p w14:paraId="30F2E24E" w14:textId="77777777" w:rsidR="00821662" w:rsidRPr="00DD0093" w:rsidRDefault="00821662" w:rsidP="00821662">
      <w:pPr>
        <w:pStyle w:val="ListParagraph"/>
        <w:numPr>
          <w:ilvl w:val="0"/>
          <w:numId w:val="9"/>
        </w:numPr>
        <w:spacing w:after="160" w:line="312" w:lineRule="auto"/>
      </w:pPr>
      <w:r w:rsidRPr="00DD0093">
        <w:t>Tomoko Kubota, Japan </w:t>
      </w:r>
    </w:p>
    <w:p w14:paraId="70E08BE5" w14:textId="77777777" w:rsidR="00821662" w:rsidRPr="00DD0093" w:rsidRDefault="00821662" w:rsidP="00821662">
      <w:pPr>
        <w:pStyle w:val="ListParagraph"/>
        <w:numPr>
          <w:ilvl w:val="0"/>
          <w:numId w:val="9"/>
        </w:numPr>
        <w:spacing w:after="160" w:line="312" w:lineRule="auto"/>
      </w:pPr>
      <w:r>
        <w:t xml:space="preserve">Andreas Maager, </w:t>
      </w:r>
      <w:r w:rsidRPr="00DD0093">
        <w:t>Consulate General of Switzerland, Atlanta</w:t>
      </w:r>
    </w:p>
    <w:p w14:paraId="7163CDEB" w14:textId="77777777" w:rsidR="00821662" w:rsidRPr="00DD0093" w:rsidRDefault="00821662" w:rsidP="00821662">
      <w:pPr>
        <w:pStyle w:val="ListParagraph"/>
        <w:numPr>
          <w:ilvl w:val="0"/>
          <w:numId w:val="9"/>
        </w:numPr>
        <w:spacing w:after="160" w:line="312" w:lineRule="auto"/>
      </w:pPr>
      <w:r w:rsidRPr="00DD0093">
        <w:t>Charlotte Marres, United Kingdom </w:t>
      </w:r>
    </w:p>
    <w:p w14:paraId="1CDFA8C9" w14:textId="77777777" w:rsidR="00821662" w:rsidRPr="00DD0093" w:rsidRDefault="00821662" w:rsidP="00821662">
      <w:pPr>
        <w:pStyle w:val="ListParagraph"/>
        <w:numPr>
          <w:ilvl w:val="0"/>
          <w:numId w:val="9"/>
        </w:numPr>
        <w:spacing w:after="160" w:line="312" w:lineRule="auto"/>
      </w:pPr>
      <w:r w:rsidRPr="00DD0093">
        <w:t>Pablo Berti Oliva, Cuba </w:t>
      </w:r>
    </w:p>
    <w:p w14:paraId="4B5AD699" w14:textId="77777777" w:rsidR="00821662" w:rsidRDefault="00821662" w:rsidP="00821662">
      <w:pPr>
        <w:pStyle w:val="ListParagraph"/>
        <w:numPr>
          <w:ilvl w:val="0"/>
          <w:numId w:val="9"/>
        </w:numPr>
        <w:spacing w:after="160" w:line="312" w:lineRule="auto"/>
      </w:pPr>
      <w:r w:rsidRPr="00DD0093">
        <w:t>Iris Ott, Switzerland </w:t>
      </w:r>
    </w:p>
    <w:p w14:paraId="76E79288" w14:textId="77777777" w:rsidR="00821662" w:rsidRPr="00DD0093" w:rsidRDefault="00821662" w:rsidP="00821662">
      <w:pPr>
        <w:pStyle w:val="ListParagraph"/>
        <w:numPr>
          <w:ilvl w:val="0"/>
          <w:numId w:val="9"/>
        </w:numPr>
        <w:spacing w:after="160" w:line="312" w:lineRule="auto"/>
      </w:pPr>
      <w:r w:rsidRPr="00DD0093">
        <w:t>Haley Patterson, United States of America </w:t>
      </w:r>
    </w:p>
    <w:p w14:paraId="2CED5B47" w14:textId="77777777" w:rsidR="00821662" w:rsidRDefault="00821662" w:rsidP="00821662">
      <w:pPr>
        <w:pStyle w:val="ListParagraph"/>
        <w:numPr>
          <w:ilvl w:val="0"/>
          <w:numId w:val="9"/>
        </w:numPr>
        <w:spacing w:after="160" w:line="312" w:lineRule="auto"/>
      </w:pPr>
      <w:r w:rsidRPr="00DD0093">
        <w:t xml:space="preserve">Radka Sibille, European Union Delegation to </w:t>
      </w:r>
      <w:r>
        <w:t>the U.N.</w:t>
      </w:r>
    </w:p>
    <w:p w14:paraId="28D36D9D" w14:textId="77777777" w:rsidR="00821662" w:rsidRPr="00DD0093" w:rsidRDefault="00821662" w:rsidP="00821662">
      <w:pPr>
        <w:pStyle w:val="ListParagraph"/>
        <w:numPr>
          <w:ilvl w:val="0"/>
          <w:numId w:val="9"/>
        </w:numPr>
        <w:spacing w:after="160" w:line="312" w:lineRule="auto"/>
      </w:pPr>
      <w:r w:rsidRPr="00DD0093">
        <w:t>Yibra Aynekullu Tesfaye, Ethiopia </w:t>
      </w:r>
    </w:p>
    <w:p w14:paraId="5220EA10" w14:textId="77777777" w:rsidR="00821662" w:rsidRPr="00DD0093" w:rsidRDefault="00821662" w:rsidP="00821662">
      <w:pPr>
        <w:pStyle w:val="ListParagraph"/>
        <w:numPr>
          <w:ilvl w:val="0"/>
          <w:numId w:val="9"/>
        </w:numPr>
        <w:spacing w:after="160" w:line="312" w:lineRule="auto"/>
      </w:pPr>
      <w:r w:rsidRPr="00DD0093">
        <w:t>Nuraym Tynybekova, Kyrgyzstan </w:t>
      </w:r>
    </w:p>
    <w:p w14:paraId="53C05355" w14:textId="77777777" w:rsidR="00821662" w:rsidRPr="00DD0093" w:rsidRDefault="00821662" w:rsidP="00821662">
      <w:pPr>
        <w:pStyle w:val="ListParagraph"/>
        <w:numPr>
          <w:ilvl w:val="0"/>
          <w:numId w:val="9"/>
        </w:numPr>
        <w:spacing w:after="160" w:line="312" w:lineRule="auto"/>
      </w:pPr>
      <w:r w:rsidRPr="00DD0093">
        <w:t>Sofia Varguez, Mexico </w:t>
      </w:r>
    </w:p>
    <w:p w14:paraId="1449D6D2" w14:textId="77777777" w:rsidR="00821662" w:rsidRPr="00DD0093" w:rsidRDefault="00821662" w:rsidP="00821662">
      <w:pPr>
        <w:pStyle w:val="ListParagraph"/>
        <w:numPr>
          <w:ilvl w:val="0"/>
          <w:numId w:val="9"/>
        </w:numPr>
        <w:spacing w:after="160" w:line="312" w:lineRule="auto"/>
      </w:pPr>
      <w:r w:rsidRPr="00DD0093">
        <w:t>Viktor Vele</w:t>
      </w:r>
      <w:r>
        <w:t>k</w:t>
      </w:r>
      <w:r w:rsidRPr="00DD0093">
        <w:t>, Czech Republic </w:t>
      </w:r>
    </w:p>
    <w:p w14:paraId="6FC30230" w14:textId="77777777" w:rsidR="00821662" w:rsidRDefault="00821662" w:rsidP="00821662">
      <w:pPr>
        <w:pStyle w:val="ListParagraph"/>
        <w:numPr>
          <w:ilvl w:val="0"/>
          <w:numId w:val="9"/>
        </w:numPr>
        <w:spacing w:after="160" w:line="312" w:lineRule="auto"/>
      </w:pPr>
      <w:r w:rsidRPr="00DD0093">
        <w:t>Codrina Vierita, Romania </w:t>
      </w:r>
    </w:p>
    <w:p w14:paraId="2737EBB7" w14:textId="77777777" w:rsidR="00821662" w:rsidRPr="00DD0093" w:rsidRDefault="00821662" w:rsidP="00821662"/>
    <w:p w14:paraId="275AA41F" w14:textId="77777777" w:rsidR="00821662" w:rsidRPr="00AD70EE" w:rsidRDefault="00821662" w:rsidP="00821662">
      <w:pPr>
        <w:spacing w:after="160" w:line="312" w:lineRule="auto"/>
        <w:ind w:left="360" w:hanging="360"/>
        <w:rPr>
          <w:b/>
        </w:rPr>
      </w:pPr>
      <w:r w:rsidRPr="00AD70EE">
        <w:rPr>
          <w:b/>
        </w:rPr>
        <w:t>Academics and Independent Experts</w:t>
      </w:r>
    </w:p>
    <w:p w14:paraId="5B570E87" w14:textId="77777777" w:rsidR="00821662" w:rsidRPr="00DD0093" w:rsidRDefault="00821662" w:rsidP="00821662">
      <w:pPr>
        <w:pStyle w:val="ListParagraph"/>
        <w:numPr>
          <w:ilvl w:val="0"/>
          <w:numId w:val="9"/>
        </w:numPr>
        <w:spacing w:after="160" w:line="312" w:lineRule="auto"/>
      </w:pPr>
      <w:r>
        <w:lastRenderedPageBreak/>
        <w:t xml:space="preserve">Anders Eriksson, </w:t>
      </w:r>
      <w:r w:rsidRPr="00DD0093">
        <w:t>Independent Consultant</w:t>
      </w:r>
    </w:p>
    <w:p w14:paraId="35D54602" w14:textId="77777777" w:rsidR="00821662" w:rsidRPr="00DD0093" w:rsidRDefault="00821662" w:rsidP="00821662">
      <w:pPr>
        <w:pStyle w:val="ListParagraph"/>
        <w:numPr>
          <w:ilvl w:val="0"/>
          <w:numId w:val="9"/>
        </w:numPr>
        <w:spacing w:after="160" w:line="312" w:lineRule="auto"/>
      </w:pPr>
      <w:r>
        <w:t xml:space="preserve">Guy Goodwin-Gill, </w:t>
      </w:r>
      <w:r w:rsidRPr="00DD0093">
        <w:t>Oxford University</w:t>
      </w:r>
    </w:p>
    <w:p w14:paraId="51EB82F5" w14:textId="77777777" w:rsidR="00821662" w:rsidRPr="00DD0093" w:rsidRDefault="00821662" w:rsidP="00821662">
      <w:pPr>
        <w:pStyle w:val="ListParagraph"/>
        <w:numPr>
          <w:ilvl w:val="0"/>
          <w:numId w:val="9"/>
        </w:numPr>
        <w:spacing w:after="160" w:line="312" w:lineRule="auto"/>
      </w:pPr>
      <w:r w:rsidRPr="00DD0093">
        <w:t>Edward McMahon, University of Vermont </w:t>
      </w:r>
    </w:p>
    <w:p w14:paraId="530BCEBD" w14:textId="77777777" w:rsidR="00821662" w:rsidRPr="00DD0093" w:rsidRDefault="00821662" w:rsidP="00821662">
      <w:pPr>
        <w:pStyle w:val="ListParagraph"/>
        <w:numPr>
          <w:ilvl w:val="0"/>
          <w:numId w:val="9"/>
        </w:numPr>
        <w:spacing w:after="160" w:line="312" w:lineRule="auto"/>
      </w:pPr>
      <w:r>
        <w:t xml:space="preserve">Sita Ranchod-Nilsson, </w:t>
      </w:r>
      <w:r w:rsidRPr="00DD0093">
        <w:t>Emory University, Institute for Developing Nations</w:t>
      </w:r>
    </w:p>
    <w:p w14:paraId="07070B6B" w14:textId="77777777" w:rsidR="00821662" w:rsidRPr="00DD0093" w:rsidRDefault="00821662" w:rsidP="00821662">
      <w:pPr>
        <w:pStyle w:val="ListParagraph"/>
        <w:numPr>
          <w:ilvl w:val="0"/>
          <w:numId w:val="9"/>
        </w:numPr>
        <w:spacing w:after="160" w:line="312" w:lineRule="auto"/>
      </w:pPr>
      <w:r>
        <w:t>John Stremlau, University of the Witwatersrand</w:t>
      </w:r>
      <w:r w:rsidRPr="00DD0093">
        <w:t xml:space="preserve"> </w:t>
      </w:r>
    </w:p>
    <w:p w14:paraId="344DCAC8" w14:textId="77777777" w:rsidR="00821662" w:rsidRPr="00DD0093" w:rsidRDefault="00821662" w:rsidP="00821662">
      <w:pPr>
        <w:pStyle w:val="ListParagraph"/>
        <w:numPr>
          <w:ilvl w:val="0"/>
          <w:numId w:val="9"/>
        </w:numPr>
        <w:spacing w:after="160" w:line="312" w:lineRule="auto"/>
      </w:pPr>
      <w:r>
        <w:t xml:space="preserve">Mark Stevens, </w:t>
      </w:r>
      <w:r w:rsidRPr="00DD0093">
        <w:t>Independent Consultant</w:t>
      </w:r>
    </w:p>
    <w:p w14:paraId="27693C5D" w14:textId="4D46ADA5" w:rsidR="00821662" w:rsidRPr="00DD0093" w:rsidRDefault="00821662" w:rsidP="00821662">
      <w:pPr>
        <w:pStyle w:val="ListParagraph"/>
        <w:numPr>
          <w:ilvl w:val="0"/>
          <w:numId w:val="9"/>
        </w:numPr>
        <w:spacing w:after="160" w:line="312" w:lineRule="auto"/>
      </w:pPr>
      <w:r w:rsidRPr="00DD0093">
        <w:t>Markku</w:t>
      </w:r>
      <w:r>
        <w:t xml:space="preserve"> Suksi, Professor</w:t>
      </w:r>
      <w:r w:rsidR="00704EB5">
        <w:t>,</w:t>
      </w:r>
      <w:r>
        <w:t xml:space="preserve"> </w:t>
      </w:r>
      <w:r w:rsidR="00704EB5">
        <w:rPr>
          <w:rFonts w:cstheme="minorHAnsi"/>
        </w:rPr>
        <w:t>Å</w:t>
      </w:r>
      <w:r>
        <w:t xml:space="preserve">bo </w:t>
      </w:r>
      <w:r w:rsidR="00704EB5">
        <w:rPr>
          <w:rFonts w:cstheme="minorHAnsi"/>
        </w:rPr>
        <w:t>Å</w:t>
      </w:r>
      <w:r>
        <w:t>kademi</w:t>
      </w:r>
    </w:p>
    <w:p w14:paraId="0B3D903C" w14:textId="77777777" w:rsidR="00821662" w:rsidRPr="00DD0093" w:rsidRDefault="00821662" w:rsidP="00821662">
      <w:pPr>
        <w:pStyle w:val="ListParagraph"/>
        <w:numPr>
          <w:ilvl w:val="0"/>
          <w:numId w:val="9"/>
        </w:numPr>
        <w:spacing w:after="160" w:line="312" w:lineRule="auto"/>
      </w:pPr>
      <w:r w:rsidRPr="00DD0093">
        <w:t>Domenico Tuccinardi</w:t>
      </w:r>
      <w:r>
        <w:t xml:space="preserve">, </w:t>
      </w:r>
      <w:r w:rsidRPr="00DD0093">
        <w:t>Independent Consultant</w:t>
      </w:r>
    </w:p>
    <w:p w14:paraId="53D2F61B" w14:textId="77777777" w:rsidR="00821662" w:rsidRPr="00DD0093" w:rsidRDefault="00821662" w:rsidP="00821662">
      <w:pPr>
        <w:pStyle w:val="ListParagraph"/>
        <w:numPr>
          <w:ilvl w:val="0"/>
          <w:numId w:val="9"/>
        </w:numPr>
        <w:spacing w:after="160" w:line="312" w:lineRule="auto"/>
      </w:pPr>
      <w:r>
        <w:t xml:space="preserve">Kåre Vollan, </w:t>
      </w:r>
      <w:r w:rsidRPr="00DD0093">
        <w:t>Quality AS</w:t>
      </w:r>
    </w:p>
    <w:p w14:paraId="5F385F5F" w14:textId="77777777" w:rsidR="00821662" w:rsidRDefault="00821662" w:rsidP="00821662">
      <w:pPr>
        <w:sectPr w:rsidR="00821662" w:rsidSect="00E4250C">
          <w:type w:val="continuous"/>
          <w:pgSz w:w="12240" w:h="15840"/>
          <w:pgMar w:top="1440" w:right="1440" w:bottom="1440" w:left="1440" w:header="720" w:footer="720" w:gutter="0"/>
          <w:cols w:num="2" w:space="720"/>
          <w:docGrid w:linePitch="360"/>
        </w:sectPr>
      </w:pPr>
    </w:p>
    <w:p w14:paraId="10AF9921" w14:textId="77777777" w:rsidR="00821662" w:rsidRPr="00DD0093" w:rsidRDefault="00821662" w:rsidP="00821662"/>
    <w:p w14:paraId="3B9243C1" w14:textId="77777777" w:rsidR="00821662" w:rsidRPr="00DD0093" w:rsidRDefault="00821662" w:rsidP="00821662"/>
    <w:p w14:paraId="753E28DD" w14:textId="77777777" w:rsidR="00821662" w:rsidRPr="00DD0093" w:rsidRDefault="00821662" w:rsidP="00821662"/>
    <w:p w14:paraId="6CB299BF" w14:textId="77777777" w:rsidR="00821662" w:rsidRPr="00DD0093" w:rsidRDefault="00821662" w:rsidP="00821662"/>
    <w:p w14:paraId="1AC13125" w14:textId="77777777" w:rsidR="00821662" w:rsidRPr="00DD0093" w:rsidRDefault="00821662" w:rsidP="00821662"/>
    <w:p w14:paraId="00871C8E" w14:textId="77777777" w:rsidR="00821662" w:rsidRPr="00DD0093" w:rsidRDefault="00821662" w:rsidP="00821662"/>
    <w:p w14:paraId="5A5F2B55" w14:textId="77777777" w:rsidR="00821662" w:rsidRPr="00DD0093" w:rsidRDefault="00821662" w:rsidP="00821662"/>
    <w:p w14:paraId="100E3B1E" w14:textId="77777777" w:rsidR="00821662" w:rsidRPr="00DD0093" w:rsidRDefault="00821662" w:rsidP="00821662"/>
    <w:p w14:paraId="0CFEA7AC" w14:textId="77777777" w:rsidR="00821662" w:rsidRPr="003C0885" w:rsidRDefault="00821662" w:rsidP="00821662">
      <w:pPr>
        <w:ind w:firstLine="60"/>
      </w:pPr>
    </w:p>
    <w:p w14:paraId="207326B0" w14:textId="77777777" w:rsidR="00052A5C" w:rsidRDefault="00052A5C"/>
    <w:sectPr w:rsidR="00052A5C" w:rsidSect="00E4250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6B6EC" w14:textId="77777777" w:rsidR="001E78F2" w:rsidRDefault="001E78F2">
      <w:r>
        <w:separator/>
      </w:r>
    </w:p>
  </w:endnote>
  <w:endnote w:type="continuationSeparator" w:id="0">
    <w:p w14:paraId="74993B95" w14:textId="77777777" w:rsidR="001E78F2" w:rsidRDefault="001E7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942A5" w14:textId="77777777" w:rsidR="001E78F2" w:rsidRDefault="001E78F2" w:rsidP="00E4250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5E986C" w14:textId="77777777" w:rsidR="001E78F2" w:rsidRDefault="001E78F2" w:rsidP="00E425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54360" w14:textId="4FA22C59" w:rsidR="001E78F2" w:rsidRDefault="001E78F2" w:rsidP="00E4250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0C7F">
      <w:rPr>
        <w:rStyle w:val="PageNumber"/>
        <w:noProof/>
      </w:rPr>
      <w:t>1</w:t>
    </w:r>
    <w:r>
      <w:rPr>
        <w:rStyle w:val="PageNumber"/>
      </w:rPr>
      <w:fldChar w:fldCharType="end"/>
    </w:r>
  </w:p>
  <w:p w14:paraId="07F6BD4E" w14:textId="77777777" w:rsidR="001E78F2" w:rsidRDefault="001E78F2" w:rsidP="00E4250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CB132" w14:textId="77777777" w:rsidR="001E78F2" w:rsidRDefault="001E78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86E46" w14:textId="77777777" w:rsidR="001E78F2" w:rsidRDefault="001E78F2">
      <w:r>
        <w:separator/>
      </w:r>
    </w:p>
  </w:footnote>
  <w:footnote w:type="continuationSeparator" w:id="0">
    <w:p w14:paraId="22285587" w14:textId="77777777" w:rsidR="001E78F2" w:rsidRDefault="001E7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623A7" w14:textId="0E206A50" w:rsidR="001E78F2" w:rsidRDefault="001E78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CA449" w14:textId="2E97BC52" w:rsidR="001E78F2" w:rsidRDefault="001E78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7DFF5" w14:textId="0C9B2E59" w:rsidR="001E78F2" w:rsidRDefault="001E78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8682F"/>
    <w:multiLevelType w:val="hybridMultilevel"/>
    <w:tmpl w:val="39026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B7938"/>
    <w:multiLevelType w:val="multilevel"/>
    <w:tmpl w:val="0409001F"/>
    <w:styleLink w:val="111111"/>
    <w:lvl w:ilvl="0">
      <w:start w:val="1"/>
      <w:numFmt w:val="decimal"/>
      <w:pStyle w:val="List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6035CD"/>
    <w:multiLevelType w:val="hybridMultilevel"/>
    <w:tmpl w:val="640A2F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44B69A6"/>
    <w:multiLevelType w:val="hybridMultilevel"/>
    <w:tmpl w:val="9FCE3B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985813"/>
    <w:multiLevelType w:val="hybridMultilevel"/>
    <w:tmpl w:val="F3942D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0D042A"/>
    <w:multiLevelType w:val="hybridMultilevel"/>
    <w:tmpl w:val="FC62F048"/>
    <w:lvl w:ilvl="0" w:tplc="48869378">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AFE31CC"/>
    <w:multiLevelType w:val="hybridMultilevel"/>
    <w:tmpl w:val="0F72F8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E032FE"/>
    <w:multiLevelType w:val="hybridMultilevel"/>
    <w:tmpl w:val="F3942D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97E65A5"/>
    <w:multiLevelType w:val="multilevel"/>
    <w:tmpl w:val="0409001F"/>
    <w:numStyleLink w:val="111111"/>
  </w:abstractNum>
  <w:num w:numId="1">
    <w:abstractNumId w:val="1"/>
  </w:num>
  <w:num w:numId="2">
    <w:abstractNumId w:val="8"/>
  </w:num>
  <w:num w:numId="3">
    <w:abstractNumId w:val="5"/>
  </w:num>
  <w:num w:numId="4">
    <w:abstractNumId w:val="6"/>
  </w:num>
  <w:num w:numId="5">
    <w:abstractNumId w:val="0"/>
  </w:num>
  <w:num w:numId="6">
    <w:abstractNumId w:val="2"/>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662"/>
    <w:rsid w:val="000054AA"/>
    <w:rsid w:val="00023692"/>
    <w:rsid w:val="00052A5C"/>
    <w:rsid w:val="00075F45"/>
    <w:rsid w:val="00085A3E"/>
    <w:rsid w:val="000971C0"/>
    <w:rsid w:val="000A124E"/>
    <w:rsid w:val="000A3A4D"/>
    <w:rsid w:val="000B0CF1"/>
    <w:rsid w:val="000C73AE"/>
    <w:rsid w:val="000E5A35"/>
    <w:rsid w:val="000F2071"/>
    <w:rsid w:val="00113352"/>
    <w:rsid w:val="00116BBE"/>
    <w:rsid w:val="00122C62"/>
    <w:rsid w:val="00126EDE"/>
    <w:rsid w:val="001351BE"/>
    <w:rsid w:val="001379BF"/>
    <w:rsid w:val="00156A0F"/>
    <w:rsid w:val="001606A6"/>
    <w:rsid w:val="00173E5B"/>
    <w:rsid w:val="001834CE"/>
    <w:rsid w:val="001867CE"/>
    <w:rsid w:val="00186812"/>
    <w:rsid w:val="001948A6"/>
    <w:rsid w:val="00196ACA"/>
    <w:rsid w:val="001A2823"/>
    <w:rsid w:val="001A650F"/>
    <w:rsid w:val="001A7B74"/>
    <w:rsid w:val="001C1F99"/>
    <w:rsid w:val="001D5380"/>
    <w:rsid w:val="001E1FBF"/>
    <w:rsid w:val="001E78F2"/>
    <w:rsid w:val="00205A42"/>
    <w:rsid w:val="002133CE"/>
    <w:rsid w:val="00221351"/>
    <w:rsid w:val="00231D6F"/>
    <w:rsid w:val="00283EA6"/>
    <w:rsid w:val="00287142"/>
    <w:rsid w:val="00290DC8"/>
    <w:rsid w:val="00294938"/>
    <w:rsid w:val="002B3349"/>
    <w:rsid w:val="002B6BB9"/>
    <w:rsid w:val="002D5F46"/>
    <w:rsid w:val="002E7FFC"/>
    <w:rsid w:val="002F0231"/>
    <w:rsid w:val="002F38DC"/>
    <w:rsid w:val="002F7209"/>
    <w:rsid w:val="003251C0"/>
    <w:rsid w:val="0033103F"/>
    <w:rsid w:val="00347D7D"/>
    <w:rsid w:val="0035496C"/>
    <w:rsid w:val="0036639E"/>
    <w:rsid w:val="00370043"/>
    <w:rsid w:val="003822FE"/>
    <w:rsid w:val="00390BFF"/>
    <w:rsid w:val="003A6964"/>
    <w:rsid w:val="003A6B03"/>
    <w:rsid w:val="003B6C10"/>
    <w:rsid w:val="003C3422"/>
    <w:rsid w:val="00414932"/>
    <w:rsid w:val="00431020"/>
    <w:rsid w:val="004431B7"/>
    <w:rsid w:val="0045404A"/>
    <w:rsid w:val="004672AA"/>
    <w:rsid w:val="00476A26"/>
    <w:rsid w:val="004A1877"/>
    <w:rsid w:val="004C56F4"/>
    <w:rsid w:val="004C59D7"/>
    <w:rsid w:val="0050457B"/>
    <w:rsid w:val="00513853"/>
    <w:rsid w:val="0051753A"/>
    <w:rsid w:val="005543E3"/>
    <w:rsid w:val="00560C7F"/>
    <w:rsid w:val="00593141"/>
    <w:rsid w:val="00594A5B"/>
    <w:rsid w:val="00596B53"/>
    <w:rsid w:val="005B548C"/>
    <w:rsid w:val="005C6665"/>
    <w:rsid w:val="005D3FAE"/>
    <w:rsid w:val="005E24C9"/>
    <w:rsid w:val="005E3598"/>
    <w:rsid w:val="005E6DA5"/>
    <w:rsid w:val="005F5AE2"/>
    <w:rsid w:val="00600F58"/>
    <w:rsid w:val="00602D7F"/>
    <w:rsid w:val="006031D7"/>
    <w:rsid w:val="00611EBD"/>
    <w:rsid w:val="00622B94"/>
    <w:rsid w:val="0063000D"/>
    <w:rsid w:val="00630993"/>
    <w:rsid w:val="00634B5B"/>
    <w:rsid w:val="0067728B"/>
    <w:rsid w:val="006956E1"/>
    <w:rsid w:val="006B3F3A"/>
    <w:rsid w:val="006C24DD"/>
    <w:rsid w:val="00702CFB"/>
    <w:rsid w:val="00704EB5"/>
    <w:rsid w:val="007214E2"/>
    <w:rsid w:val="00746553"/>
    <w:rsid w:val="00755801"/>
    <w:rsid w:val="00757FAC"/>
    <w:rsid w:val="00762BFD"/>
    <w:rsid w:val="00776779"/>
    <w:rsid w:val="007B11A1"/>
    <w:rsid w:val="007D231B"/>
    <w:rsid w:val="007D6176"/>
    <w:rsid w:val="007D7C35"/>
    <w:rsid w:val="00810BFB"/>
    <w:rsid w:val="008177BB"/>
    <w:rsid w:val="00821662"/>
    <w:rsid w:val="00822B9A"/>
    <w:rsid w:val="00826719"/>
    <w:rsid w:val="0086493E"/>
    <w:rsid w:val="00875B7F"/>
    <w:rsid w:val="00886B53"/>
    <w:rsid w:val="008A4BD6"/>
    <w:rsid w:val="008A63A3"/>
    <w:rsid w:val="008A74C2"/>
    <w:rsid w:val="008D40D1"/>
    <w:rsid w:val="008D4960"/>
    <w:rsid w:val="009150DF"/>
    <w:rsid w:val="00915B87"/>
    <w:rsid w:val="009268D6"/>
    <w:rsid w:val="00935251"/>
    <w:rsid w:val="00937DF4"/>
    <w:rsid w:val="00937FAB"/>
    <w:rsid w:val="00945051"/>
    <w:rsid w:val="00950FB5"/>
    <w:rsid w:val="00955805"/>
    <w:rsid w:val="00964C58"/>
    <w:rsid w:val="00973AEE"/>
    <w:rsid w:val="00976B7C"/>
    <w:rsid w:val="009842D3"/>
    <w:rsid w:val="00997091"/>
    <w:rsid w:val="009B6010"/>
    <w:rsid w:val="009B6358"/>
    <w:rsid w:val="009B6708"/>
    <w:rsid w:val="009F0244"/>
    <w:rsid w:val="009F3D2F"/>
    <w:rsid w:val="00A00CFB"/>
    <w:rsid w:val="00A04063"/>
    <w:rsid w:val="00A261D1"/>
    <w:rsid w:val="00A401C3"/>
    <w:rsid w:val="00A4029C"/>
    <w:rsid w:val="00A4205F"/>
    <w:rsid w:val="00A639E5"/>
    <w:rsid w:val="00AC7422"/>
    <w:rsid w:val="00AD14FF"/>
    <w:rsid w:val="00AE1358"/>
    <w:rsid w:val="00B01F6F"/>
    <w:rsid w:val="00B0737E"/>
    <w:rsid w:val="00B11BE8"/>
    <w:rsid w:val="00B179A9"/>
    <w:rsid w:val="00B2246A"/>
    <w:rsid w:val="00B45C6E"/>
    <w:rsid w:val="00B6354D"/>
    <w:rsid w:val="00B64A1B"/>
    <w:rsid w:val="00B74CD1"/>
    <w:rsid w:val="00B75D3F"/>
    <w:rsid w:val="00B75D49"/>
    <w:rsid w:val="00B75F11"/>
    <w:rsid w:val="00B83591"/>
    <w:rsid w:val="00BC3CEA"/>
    <w:rsid w:val="00BD75F8"/>
    <w:rsid w:val="00BE00CA"/>
    <w:rsid w:val="00BE3FFF"/>
    <w:rsid w:val="00BE66B3"/>
    <w:rsid w:val="00C05A59"/>
    <w:rsid w:val="00C47946"/>
    <w:rsid w:val="00C6578D"/>
    <w:rsid w:val="00C81538"/>
    <w:rsid w:val="00CA016F"/>
    <w:rsid w:val="00CC0329"/>
    <w:rsid w:val="00CC1B1A"/>
    <w:rsid w:val="00CC2DD1"/>
    <w:rsid w:val="00CD52CB"/>
    <w:rsid w:val="00CD5EDF"/>
    <w:rsid w:val="00D02B28"/>
    <w:rsid w:val="00D02F54"/>
    <w:rsid w:val="00D04E01"/>
    <w:rsid w:val="00D1113C"/>
    <w:rsid w:val="00D22E27"/>
    <w:rsid w:val="00D41C6B"/>
    <w:rsid w:val="00D46DCA"/>
    <w:rsid w:val="00D55C73"/>
    <w:rsid w:val="00D67A23"/>
    <w:rsid w:val="00D73028"/>
    <w:rsid w:val="00D97F4E"/>
    <w:rsid w:val="00DB5660"/>
    <w:rsid w:val="00DC172E"/>
    <w:rsid w:val="00DC5345"/>
    <w:rsid w:val="00DD30E2"/>
    <w:rsid w:val="00DF1725"/>
    <w:rsid w:val="00DF7493"/>
    <w:rsid w:val="00E16961"/>
    <w:rsid w:val="00E22DD4"/>
    <w:rsid w:val="00E31141"/>
    <w:rsid w:val="00E4250C"/>
    <w:rsid w:val="00E90DEF"/>
    <w:rsid w:val="00EB5151"/>
    <w:rsid w:val="00EC32CB"/>
    <w:rsid w:val="00ED179A"/>
    <w:rsid w:val="00EE2357"/>
    <w:rsid w:val="00EF0B36"/>
    <w:rsid w:val="00F00CC4"/>
    <w:rsid w:val="00F107DF"/>
    <w:rsid w:val="00F10DB7"/>
    <w:rsid w:val="00F46E79"/>
    <w:rsid w:val="00F478A9"/>
    <w:rsid w:val="00F562E7"/>
    <w:rsid w:val="00F632F9"/>
    <w:rsid w:val="00F85EC0"/>
    <w:rsid w:val="00F87FB0"/>
    <w:rsid w:val="00FA27A1"/>
    <w:rsid w:val="00FA3048"/>
    <w:rsid w:val="00FA5EF4"/>
    <w:rsid w:val="00FB6CB5"/>
    <w:rsid w:val="00FE0FCD"/>
    <w:rsid w:val="00FF309C"/>
    <w:rsid w:val="00FF7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C64457"/>
  <w15:chartTrackingRefBased/>
  <w15:docId w15:val="{C596EEC2-572F-44BD-A373-E2D5A5115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662"/>
    <w:pPr>
      <w:spacing w:after="0" w:line="240" w:lineRule="auto"/>
    </w:pPr>
    <w:rPr>
      <w:sz w:val="24"/>
      <w:szCs w:val="24"/>
    </w:rPr>
  </w:style>
  <w:style w:type="paragraph" w:styleId="Heading1">
    <w:name w:val="heading 1"/>
    <w:basedOn w:val="Normal"/>
    <w:next w:val="Normal"/>
    <w:link w:val="Heading1Char"/>
    <w:uiPriority w:val="9"/>
    <w:qFormat/>
    <w:rsid w:val="0082166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21662"/>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66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2166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21662"/>
    <w:pPr>
      <w:numPr>
        <w:numId w:val="2"/>
      </w:numPr>
      <w:contextualSpacing/>
    </w:pPr>
  </w:style>
  <w:style w:type="paragraph" w:styleId="Title">
    <w:name w:val="Title"/>
    <w:basedOn w:val="Normal"/>
    <w:next w:val="Normal"/>
    <w:link w:val="TitleChar"/>
    <w:uiPriority w:val="10"/>
    <w:qFormat/>
    <w:rsid w:val="0082166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1662"/>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821662"/>
    <w:pPr>
      <w:tabs>
        <w:tab w:val="center" w:pos="4680"/>
        <w:tab w:val="right" w:pos="9360"/>
      </w:tabs>
    </w:pPr>
  </w:style>
  <w:style w:type="character" w:customStyle="1" w:styleId="FooterChar">
    <w:name w:val="Footer Char"/>
    <w:basedOn w:val="DefaultParagraphFont"/>
    <w:link w:val="Footer"/>
    <w:uiPriority w:val="99"/>
    <w:rsid w:val="00821662"/>
    <w:rPr>
      <w:sz w:val="24"/>
      <w:szCs w:val="24"/>
    </w:rPr>
  </w:style>
  <w:style w:type="character" w:styleId="PageNumber">
    <w:name w:val="page number"/>
    <w:basedOn w:val="DefaultParagraphFont"/>
    <w:uiPriority w:val="99"/>
    <w:semiHidden/>
    <w:unhideWhenUsed/>
    <w:rsid w:val="00821662"/>
  </w:style>
  <w:style w:type="paragraph" w:styleId="Header">
    <w:name w:val="header"/>
    <w:basedOn w:val="Normal"/>
    <w:link w:val="HeaderChar"/>
    <w:uiPriority w:val="99"/>
    <w:unhideWhenUsed/>
    <w:rsid w:val="00821662"/>
    <w:pPr>
      <w:tabs>
        <w:tab w:val="center" w:pos="4680"/>
        <w:tab w:val="right" w:pos="9360"/>
      </w:tabs>
    </w:pPr>
  </w:style>
  <w:style w:type="character" w:customStyle="1" w:styleId="HeaderChar">
    <w:name w:val="Header Char"/>
    <w:basedOn w:val="DefaultParagraphFont"/>
    <w:link w:val="Header"/>
    <w:uiPriority w:val="99"/>
    <w:rsid w:val="00821662"/>
    <w:rPr>
      <w:sz w:val="24"/>
      <w:szCs w:val="24"/>
    </w:rPr>
  </w:style>
  <w:style w:type="numbering" w:styleId="111111">
    <w:name w:val="Outline List 2"/>
    <w:basedOn w:val="NoList"/>
    <w:uiPriority w:val="99"/>
    <w:semiHidden/>
    <w:unhideWhenUsed/>
    <w:rsid w:val="00821662"/>
    <w:pPr>
      <w:numPr>
        <w:numId w:val="1"/>
      </w:numPr>
    </w:pPr>
  </w:style>
  <w:style w:type="character" w:styleId="CommentReference">
    <w:name w:val="annotation reference"/>
    <w:basedOn w:val="DefaultParagraphFont"/>
    <w:uiPriority w:val="99"/>
    <w:semiHidden/>
    <w:unhideWhenUsed/>
    <w:rsid w:val="00746553"/>
    <w:rPr>
      <w:sz w:val="18"/>
      <w:szCs w:val="18"/>
    </w:rPr>
  </w:style>
  <w:style w:type="paragraph" w:styleId="CommentText">
    <w:name w:val="annotation text"/>
    <w:basedOn w:val="Normal"/>
    <w:link w:val="CommentTextChar"/>
    <w:uiPriority w:val="99"/>
    <w:semiHidden/>
    <w:unhideWhenUsed/>
    <w:rsid w:val="00746553"/>
  </w:style>
  <w:style w:type="character" w:customStyle="1" w:styleId="CommentTextChar">
    <w:name w:val="Comment Text Char"/>
    <w:basedOn w:val="DefaultParagraphFont"/>
    <w:link w:val="CommentText"/>
    <w:uiPriority w:val="99"/>
    <w:semiHidden/>
    <w:rsid w:val="00746553"/>
    <w:rPr>
      <w:sz w:val="24"/>
      <w:szCs w:val="24"/>
    </w:rPr>
  </w:style>
  <w:style w:type="paragraph" w:styleId="CommentSubject">
    <w:name w:val="annotation subject"/>
    <w:basedOn w:val="CommentText"/>
    <w:next w:val="CommentText"/>
    <w:link w:val="CommentSubjectChar"/>
    <w:uiPriority w:val="99"/>
    <w:semiHidden/>
    <w:unhideWhenUsed/>
    <w:rsid w:val="00746553"/>
    <w:rPr>
      <w:b/>
      <w:bCs/>
      <w:sz w:val="20"/>
      <w:szCs w:val="20"/>
    </w:rPr>
  </w:style>
  <w:style w:type="character" w:customStyle="1" w:styleId="CommentSubjectChar">
    <w:name w:val="Comment Subject Char"/>
    <w:basedOn w:val="CommentTextChar"/>
    <w:link w:val="CommentSubject"/>
    <w:uiPriority w:val="99"/>
    <w:semiHidden/>
    <w:rsid w:val="00746553"/>
    <w:rPr>
      <w:b/>
      <w:bCs/>
      <w:sz w:val="20"/>
      <w:szCs w:val="20"/>
    </w:rPr>
  </w:style>
  <w:style w:type="paragraph" w:styleId="BalloonText">
    <w:name w:val="Balloon Text"/>
    <w:basedOn w:val="Normal"/>
    <w:link w:val="BalloonTextChar"/>
    <w:uiPriority w:val="99"/>
    <w:semiHidden/>
    <w:unhideWhenUsed/>
    <w:rsid w:val="0074655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6553"/>
    <w:rPr>
      <w:rFonts w:ascii="Times New Roman" w:hAnsi="Times New Roman" w:cs="Times New Roman"/>
      <w:sz w:val="18"/>
      <w:szCs w:val="18"/>
    </w:rPr>
  </w:style>
  <w:style w:type="paragraph" w:styleId="Revision">
    <w:name w:val="Revision"/>
    <w:hidden/>
    <w:uiPriority w:val="99"/>
    <w:semiHidden/>
    <w:rsid w:val="00294938"/>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70CC727-9D85-45C0-AC7A-012125F5B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4482</Words>
  <Characters>25550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Obehi Okojie</dc:creator>
  <cp:keywords/>
  <dc:description/>
  <cp:lastModifiedBy>Chris Becker</cp:lastModifiedBy>
  <cp:revision>3</cp:revision>
  <cp:lastPrinted>2017-12-04T23:55:00Z</cp:lastPrinted>
  <dcterms:created xsi:type="dcterms:W3CDTF">2018-01-19T15:44:00Z</dcterms:created>
  <dcterms:modified xsi:type="dcterms:W3CDTF">2018-01-19T15:50:00Z</dcterms:modified>
</cp:coreProperties>
</file>